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AFFC" w14:textId="0F8DFC8B" w:rsidR="00176661" w:rsidRPr="00176661" w:rsidRDefault="004F6E1F" w:rsidP="00176661">
      <w:pPr>
        <w:jc w:val="center"/>
        <w:rPr>
          <w:b/>
          <w:bCs/>
          <w:sz w:val="22"/>
          <w:szCs w:val="22"/>
        </w:rPr>
      </w:pPr>
      <w:r w:rsidRPr="003C3C6C">
        <w:rPr>
          <w:noProof/>
        </w:rPr>
        <w:drawing>
          <wp:anchor distT="0" distB="0" distL="114300" distR="114300" simplePos="0" relativeHeight="251659264" behindDoc="1" locked="0" layoutInCell="1" allowOverlap="1" wp14:anchorId="20E2D460" wp14:editId="2C6DDBF1">
            <wp:simplePos x="0" y="0"/>
            <wp:positionH relativeFrom="margin">
              <wp:align>left</wp:align>
            </wp:positionH>
            <wp:positionV relativeFrom="margin">
              <wp:posOffset>-138430</wp:posOffset>
            </wp:positionV>
            <wp:extent cx="869950" cy="728980"/>
            <wp:effectExtent l="0" t="0" r="6350" b="0"/>
            <wp:wrapSquare wrapText="bothSides"/>
            <wp:docPr id="1" name="Picture 1" descr="STTF Logo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TF Logo Draft"/>
                    <pic:cNvPicPr>
                      <a:picLocks noChangeAspect="1" noChangeArrowheads="1"/>
                    </pic:cNvPicPr>
                  </pic:nvPicPr>
                  <pic:blipFill>
                    <a:blip r:embed="rId7" cstate="print">
                      <a:extLst>
                        <a:ext uri="{28A0092B-C50C-407E-A947-70E740481C1C}">
                          <a14:useLocalDpi xmlns:a14="http://schemas.microsoft.com/office/drawing/2010/main" val="0"/>
                        </a:ext>
                      </a:extLst>
                    </a:blip>
                    <a:srcRect l="34680" t="40057" r="44853" b="46686"/>
                    <a:stretch>
                      <a:fillRect/>
                    </a:stretch>
                  </pic:blipFill>
                  <pic:spPr bwMode="auto">
                    <a:xfrm>
                      <a:off x="0" y="0"/>
                      <a:ext cx="871651" cy="731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661" w:rsidRPr="00176661">
        <w:rPr>
          <w:b/>
          <w:bCs/>
          <w:sz w:val="22"/>
          <w:szCs w:val="22"/>
        </w:rPr>
        <w:t>Milwaukee Shelter and Transitional Housing Task Force</w:t>
      </w:r>
      <w:r w:rsidR="00176661" w:rsidRPr="00176661">
        <w:rPr>
          <w:b/>
          <w:bCs/>
          <w:sz w:val="22"/>
          <w:szCs w:val="22"/>
        </w:rPr>
        <w:br/>
        <w:t xml:space="preserve">FY2025 CoC NOFO </w:t>
      </w:r>
      <w:r w:rsidR="0085587A">
        <w:rPr>
          <w:b/>
          <w:bCs/>
          <w:sz w:val="22"/>
          <w:szCs w:val="22"/>
        </w:rPr>
        <w:t>Fact Sheet</w:t>
      </w:r>
      <w:r w:rsidR="00176661" w:rsidRPr="00176661">
        <w:rPr>
          <w:b/>
          <w:bCs/>
          <w:sz w:val="22"/>
          <w:szCs w:val="22"/>
        </w:rPr>
        <w:br/>
      </w:r>
    </w:p>
    <w:p w14:paraId="21DB81D1" w14:textId="18CF2071" w:rsidR="00B16FD6" w:rsidRPr="00176661" w:rsidRDefault="00836227" w:rsidP="00176661">
      <w:pPr>
        <w:pBdr>
          <w:top w:val="single" w:sz="4" w:space="1" w:color="auto"/>
          <w:left w:val="single" w:sz="4" w:space="4" w:color="auto"/>
          <w:bottom w:val="single" w:sz="4" w:space="1" w:color="auto"/>
          <w:right w:val="single" w:sz="4" w:space="4" w:color="auto"/>
        </w:pBdr>
        <w:rPr>
          <w:sz w:val="22"/>
          <w:szCs w:val="22"/>
        </w:rPr>
      </w:pPr>
      <w:r w:rsidRPr="00176661">
        <w:rPr>
          <w:b/>
          <w:bCs/>
          <w:sz w:val="22"/>
          <w:szCs w:val="22"/>
        </w:rPr>
        <w:t>TL:DR</w:t>
      </w:r>
      <w:r w:rsidRPr="00176661">
        <w:rPr>
          <w:b/>
          <w:bCs/>
          <w:sz w:val="22"/>
          <w:szCs w:val="22"/>
        </w:rPr>
        <w:br/>
        <w:t xml:space="preserve">Quick Overview: </w:t>
      </w:r>
      <w:r w:rsidRPr="00176661">
        <w:rPr>
          <w:sz w:val="22"/>
          <w:szCs w:val="22"/>
        </w:rPr>
        <w:t xml:space="preserve">HUD released a NOFO with devastating changes to the CoC program grants with an incredibly tight turnaround time. </w:t>
      </w:r>
      <w:r w:rsidR="00176661">
        <w:rPr>
          <w:sz w:val="22"/>
          <w:szCs w:val="22"/>
        </w:rPr>
        <w:br/>
      </w:r>
      <w:r w:rsidRPr="00176661">
        <w:rPr>
          <w:b/>
          <w:bCs/>
          <w:sz w:val="22"/>
          <w:szCs w:val="22"/>
        </w:rPr>
        <w:t xml:space="preserve">Solution: </w:t>
      </w:r>
      <w:r w:rsidRPr="00176661">
        <w:rPr>
          <w:sz w:val="22"/>
          <w:szCs w:val="22"/>
        </w:rPr>
        <w:t xml:space="preserve">HUD should fund all CoC programs at the same level for another 12 months, as initially outlined in </w:t>
      </w:r>
      <w:proofErr w:type="gramStart"/>
      <w:r w:rsidRPr="00176661">
        <w:rPr>
          <w:sz w:val="22"/>
          <w:szCs w:val="22"/>
        </w:rPr>
        <w:t>the FY2024</w:t>
      </w:r>
      <w:proofErr w:type="gramEnd"/>
      <w:r w:rsidRPr="00176661">
        <w:rPr>
          <w:sz w:val="22"/>
          <w:szCs w:val="22"/>
        </w:rPr>
        <w:t xml:space="preserve"> NOFO. HUD can do this voluntarily, or Congress can legislate in the THUD bill.</w:t>
      </w:r>
    </w:p>
    <w:p w14:paraId="1312F432" w14:textId="5149A470" w:rsidR="00492C45" w:rsidRPr="00176661" w:rsidRDefault="00176661" w:rsidP="00176661">
      <w:pPr>
        <w:rPr>
          <w:sz w:val="22"/>
          <w:szCs w:val="22"/>
        </w:rPr>
      </w:pPr>
      <w:r>
        <w:rPr>
          <w:b/>
          <w:bCs/>
          <w:sz w:val="22"/>
          <w:szCs w:val="22"/>
        </w:rPr>
        <w:t xml:space="preserve">I. </w:t>
      </w:r>
      <w:r w:rsidR="002F07C1" w:rsidRPr="00176661">
        <w:rPr>
          <w:b/>
          <w:bCs/>
          <w:sz w:val="22"/>
          <w:szCs w:val="22"/>
        </w:rPr>
        <w:t>BACKGROUND</w:t>
      </w:r>
      <w:r w:rsidR="00492C45" w:rsidRPr="00176661">
        <w:rPr>
          <w:sz w:val="22"/>
          <w:szCs w:val="22"/>
        </w:rPr>
        <w:br/>
      </w:r>
      <w:r w:rsidR="00B460F1">
        <w:rPr>
          <w:sz w:val="22"/>
          <w:szCs w:val="22"/>
        </w:rPr>
        <w:t>The Milwaukee Coalition on Housing and Homelessness (MCHH) serves as the collaborative applicant and lead agency for $</w:t>
      </w:r>
      <w:r w:rsidR="001D1B10">
        <w:rPr>
          <w:sz w:val="22"/>
          <w:szCs w:val="22"/>
        </w:rPr>
        <w:t xml:space="preserve">16,288,585 in Continuum of Care (CoC) grant funds from the U.S. Department of Housing and Urban Development (HUD). </w:t>
      </w:r>
      <w:r w:rsidR="00E41C32">
        <w:rPr>
          <w:sz w:val="22"/>
          <w:szCs w:val="22"/>
        </w:rPr>
        <w:t xml:space="preserve">In 2024, </w:t>
      </w:r>
      <w:r w:rsidR="00492C45" w:rsidRPr="00176661">
        <w:rPr>
          <w:sz w:val="22"/>
          <w:szCs w:val="22"/>
        </w:rPr>
        <w:t xml:space="preserve">HUD issued a two-year CoC funding notice for FY2024–2025 but </w:t>
      </w:r>
      <w:r w:rsidR="009A743B">
        <w:rPr>
          <w:sz w:val="22"/>
          <w:szCs w:val="22"/>
        </w:rPr>
        <w:t xml:space="preserve">in July 2025 </w:t>
      </w:r>
      <w:r w:rsidR="00492C45" w:rsidRPr="00176661">
        <w:rPr>
          <w:sz w:val="22"/>
          <w:szCs w:val="22"/>
        </w:rPr>
        <w:t>announced a new FY2025 competition with major departures from prior NOFOs. This abrupt shift disrupts local planning and conflicts with the McKinney-Vento Act’s emphasis on stable renewal funding for permanent housing</w:t>
      </w:r>
      <w:r w:rsidR="00973520">
        <w:rPr>
          <w:sz w:val="22"/>
          <w:szCs w:val="22"/>
        </w:rPr>
        <w:t xml:space="preserve"> (PH)</w:t>
      </w:r>
      <w:r w:rsidR="00492C45" w:rsidRPr="00176661">
        <w:rPr>
          <w:sz w:val="22"/>
          <w:szCs w:val="22"/>
        </w:rPr>
        <w:t xml:space="preserve"> projects, which currently account for 87% of CoC resources. HUD has also proposed capping funding for permanent supportive housing—the core of the nation’s largest homelessness-response program—further constraining communities’ ability to sustain proven interventions.</w:t>
      </w:r>
    </w:p>
    <w:p w14:paraId="592EE1C7" w14:textId="77777777" w:rsidR="00492C45" w:rsidRPr="00492C45" w:rsidRDefault="00492C45" w:rsidP="00492C45">
      <w:pPr>
        <w:rPr>
          <w:sz w:val="22"/>
          <w:szCs w:val="22"/>
        </w:rPr>
      </w:pPr>
      <w:r w:rsidRPr="00492C45">
        <w:rPr>
          <w:sz w:val="22"/>
          <w:szCs w:val="22"/>
        </w:rPr>
        <w:t>While HUD’s move to a two-year NOFO cycle has increased predictability and reduced administrative burdens, the shortened 2025 timeline and potential fiscal delays underscore the need to extend current CoC awards for an additional year to ensure continuity during the transition to the Department’s next strategic phase.</w:t>
      </w:r>
    </w:p>
    <w:p w14:paraId="7698714C" w14:textId="61847F30" w:rsidR="00492C45" w:rsidRPr="00492C45" w:rsidRDefault="00492C45" w:rsidP="00492C45">
      <w:pPr>
        <w:rPr>
          <w:sz w:val="22"/>
          <w:szCs w:val="22"/>
        </w:rPr>
      </w:pPr>
      <w:r w:rsidRPr="00492C45">
        <w:rPr>
          <w:sz w:val="22"/>
          <w:szCs w:val="22"/>
        </w:rPr>
        <w:t>HUD’s commitment to modernizing the CoC program through stronger performance metrics and data-driven decision-making</w:t>
      </w:r>
      <w:r w:rsidRPr="00176661">
        <w:rPr>
          <w:sz w:val="22"/>
          <w:szCs w:val="22"/>
        </w:rPr>
        <w:t xml:space="preserve"> has merit</w:t>
      </w:r>
      <w:r w:rsidRPr="00492C45">
        <w:rPr>
          <w:sz w:val="22"/>
          <w:szCs w:val="22"/>
        </w:rPr>
        <w:t>. However, significant changes to the NOFO structure or funding priorities must be introduced carefully to avoid destabilizing programs serving individuals with severe disabilities—including those related to mental illness, chronic health conditions, and substance use disorders—as well as seniors with disabilities.</w:t>
      </w:r>
    </w:p>
    <w:p w14:paraId="29637986" w14:textId="7197592C" w:rsidR="003C4B3C" w:rsidRPr="00176661" w:rsidRDefault="00176661" w:rsidP="003C4B3C">
      <w:pPr>
        <w:tabs>
          <w:tab w:val="num" w:pos="720"/>
        </w:tabs>
        <w:rPr>
          <w:b/>
          <w:bCs/>
          <w:sz w:val="22"/>
          <w:szCs w:val="22"/>
        </w:rPr>
      </w:pPr>
      <w:r>
        <w:rPr>
          <w:b/>
          <w:bCs/>
          <w:sz w:val="22"/>
          <w:szCs w:val="22"/>
        </w:rPr>
        <w:t xml:space="preserve">II. </w:t>
      </w:r>
      <w:r w:rsidR="003C4B3C" w:rsidRPr="00176661">
        <w:rPr>
          <w:b/>
          <w:bCs/>
          <w:sz w:val="22"/>
          <w:szCs w:val="22"/>
        </w:rPr>
        <w:t>PROJECTED IMPACT</w:t>
      </w:r>
      <w:r w:rsidR="00365159">
        <w:rPr>
          <w:b/>
          <w:bCs/>
          <w:sz w:val="22"/>
          <w:szCs w:val="22"/>
        </w:rPr>
        <w:t xml:space="preserve"> </w:t>
      </w:r>
      <w:r w:rsidR="003C4B3C" w:rsidRPr="00176661">
        <w:rPr>
          <w:b/>
          <w:bCs/>
          <w:sz w:val="22"/>
          <w:szCs w:val="22"/>
        </w:rPr>
        <w:t>ACROSS the U.S.</w:t>
      </w:r>
    </w:p>
    <w:p w14:paraId="031EEA28" w14:textId="14089C5E" w:rsidR="00492C45" w:rsidRPr="00176661" w:rsidRDefault="00492C45" w:rsidP="003C4B3C">
      <w:pPr>
        <w:pStyle w:val="ListParagraph"/>
        <w:numPr>
          <w:ilvl w:val="0"/>
          <w:numId w:val="3"/>
        </w:numPr>
        <w:tabs>
          <w:tab w:val="num" w:pos="720"/>
        </w:tabs>
        <w:rPr>
          <w:sz w:val="22"/>
          <w:szCs w:val="22"/>
        </w:rPr>
      </w:pPr>
      <w:r w:rsidRPr="00176661">
        <w:rPr>
          <w:i/>
          <w:iCs/>
          <w:sz w:val="22"/>
          <w:szCs w:val="22"/>
        </w:rPr>
        <w:t>Loss of Housing for 170,000 People:</w:t>
      </w:r>
      <w:r w:rsidRPr="00176661">
        <w:rPr>
          <w:sz w:val="22"/>
          <w:szCs w:val="22"/>
        </w:rPr>
        <w:t xml:space="preserve"> Ending or reducing permanent housing projects will remove essential housing and services, especially for people with disabilities and complex needs.</w:t>
      </w:r>
    </w:p>
    <w:p w14:paraId="5409B787" w14:textId="77777777" w:rsidR="00492C45" w:rsidRPr="00176661" w:rsidRDefault="00492C45" w:rsidP="003C4B3C">
      <w:pPr>
        <w:pStyle w:val="ListParagraph"/>
        <w:numPr>
          <w:ilvl w:val="0"/>
          <w:numId w:val="3"/>
        </w:numPr>
        <w:rPr>
          <w:sz w:val="22"/>
          <w:szCs w:val="22"/>
        </w:rPr>
      </w:pPr>
      <w:r w:rsidRPr="00176661">
        <w:rPr>
          <w:i/>
          <w:iCs/>
          <w:sz w:val="22"/>
          <w:szCs w:val="22"/>
        </w:rPr>
        <w:t>Increase in Unsheltered Homelessness</w:t>
      </w:r>
      <w:r w:rsidRPr="00176661">
        <w:rPr>
          <w:sz w:val="22"/>
          <w:szCs w:val="22"/>
        </w:rPr>
        <w:t>: Funding gaps will limit access to permanent housing and necessary services.</w:t>
      </w:r>
    </w:p>
    <w:p w14:paraId="5FFC61E1" w14:textId="6394EF5B" w:rsidR="00C664BA" w:rsidRDefault="00492C45" w:rsidP="003C4B3C">
      <w:pPr>
        <w:pStyle w:val="ListParagraph"/>
        <w:numPr>
          <w:ilvl w:val="0"/>
          <w:numId w:val="3"/>
        </w:numPr>
        <w:rPr>
          <w:sz w:val="22"/>
          <w:szCs w:val="22"/>
        </w:rPr>
      </w:pPr>
      <w:r w:rsidRPr="00C664BA">
        <w:rPr>
          <w:i/>
          <w:iCs/>
          <w:sz w:val="22"/>
          <w:szCs w:val="22"/>
        </w:rPr>
        <w:t>Service and Payment Disruptions</w:t>
      </w:r>
      <w:r w:rsidRPr="00C664BA">
        <w:rPr>
          <w:sz w:val="22"/>
          <w:szCs w:val="22"/>
        </w:rPr>
        <w:t xml:space="preserve">: </w:t>
      </w:r>
      <w:r w:rsidR="00C664BA" w:rsidRPr="00C664BA">
        <w:rPr>
          <w:sz w:val="22"/>
          <w:szCs w:val="22"/>
        </w:rPr>
        <w:t>Delays in funding will result in unpaid rent, payroll challenges for staff, and reduced services</w:t>
      </w:r>
      <w:r w:rsidR="00C664BA">
        <w:rPr>
          <w:sz w:val="22"/>
          <w:szCs w:val="22"/>
        </w:rPr>
        <w:t xml:space="preserve">, </w:t>
      </w:r>
      <w:r w:rsidR="00C664BA" w:rsidRPr="00C664BA">
        <w:rPr>
          <w:sz w:val="22"/>
          <w:szCs w:val="22"/>
        </w:rPr>
        <w:t>particularly harming nonprofits that already operate with limited budgets and lean staffing.</w:t>
      </w:r>
    </w:p>
    <w:p w14:paraId="11C3E450" w14:textId="51024ACC" w:rsidR="00492C45" w:rsidRPr="00C664BA" w:rsidRDefault="00492C45" w:rsidP="003C4B3C">
      <w:pPr>
        <w:pStyle w:val="ListParagraph"/>
        <w:numPr>
          <w:ilvl w:val="0"/>
          <w:numId w:val="3"/>
        </w:numPr>
        <w:rPr>
          <w:sz w:val="22"/>
          <w:szCs w:val="22"/>
        </w:rPr>
      </w:pPr>
      <w:r w:rsidRPr="00C664BA">
        <w:rPr>
          <w:i/>
          <w:iCs/>
          <w:sz w:val="22"/>
          <w:szCs w:val="22"/>
        </w:rPr>
        <w:t>Development Delays</w:t>
      </w:r>
      <w:r w:rsidRPr="00C664BA">
        <w:rPr>
          <w:sz w:val="22"/>
          <w:szCs w:val="22"/>
        </w:rPr>
        <w:t xml:space="preserve">: Uncertainty will pause </w:t>
      </w:r>
      <w:r w:rsidR="00651FB4" w:rsidRPr="00C664BA">
        <w:rPr>
          <w:sz w:val="22"/>
          <w:szCs w:val="22"/>
        </w:rPr>
        <w:t xml:space="preserve">affordable housing </w:t>
      </w:r>
      <w:r w:rsidRPr="00C664BA">
        <w:rPr>
          <w:sz w:val="22"/>
          <w:szCs w:val="22"/>
        </w:rPr>
        <w:t>projects and deter private investment.</w:t>
      </w:r>
    </w:p>
    <w:p w14:paraId="231A8178" w14:textId="77777777" w:rsidR="00492C45" w:rsidRPr="00176661" w:rsidRDefault="00492C45" w:rsidP="003C4B3C">
      <w:pPr>
        <w:pStyle w:val="ListParagraph"/>
        <w:numPr>
          <w:ilvl w:val="0"/>
          <w:numId w:val="3"/>
        </w:numPr>
        <w:rPr>
          <w:sz w:val="22"/>
          <w:szCs w:val="22"/>
        </w:rPr>
      </w:pPr>
      <w:r w:rsidRPr="00176661">
        <w:rPr>
          <w:i/>
          <w:iCs/>
          <w:sz w:val="22"/>
          <w:szCs w:val="22"/>
        </w:rPr>
        <w:t>Partner Distrust</w:t>
      </w:r>
      <w:r w:rsidRPr="00176661">
        <w:rPr>
          <w:sz w:val="22"/>
          <w:szCs w:val="22"/>
        </w:rPr>
        <w:t>: Landlords, housing authorities, and service partners may withdraw from collaborations.</w:t>
      </w:r>
    </w:p>
    <w:p w14:paraId="4AE5991B" w14:textId="4D371463" w:rsidR="00492C45" w:rsidRPr="00176661" w:rsidRDefault="00492C45" w:rsidP="003C4B3C">
      <w:pPr>
        <w:pStyle w:val="ListParagraph"/>
        <w:numPr>
          <w:ilvl w:val="0"/>
          <w:numId w:val="3"/>
        </w:numPr>
        <w:rPr>
          <w:sz w:val="22"/>
          <w:szCs w:val="22"/>
        </w:rPr>
      </w:pPr>
      <w:r w:rsidRPr="00176661">
        <w:rPr>
          <w:i/>
          <w:iCs/>
          <w:sz w:val="22"/>
          <w:szCs w:val="22"/>
        </w:rPr>
        <w:t>Cost Shifting to States and Cities</w:t>
      </w:r>
      <w:r w:rsidRPr="00176661">
        <w:rPr>
          <w:sz w:val="22"/>
          <w:szCs w:val="22"/>
        </w:rPr>
        <w:t>: Local governments will bear the financial burden</w:t>
      </w:r>
      <w:r w:rsidR="002D551C">
        <w:rPr>
          <w:sz w:val="22"/>
          <w:szCs w:val="22"/>
        </w:rPr>
        <w:t xml:space="preserve"> of increased emergency </w:t>
      </w:r>
      <w:r w:rsidR="00D64698">
        <w:rPr>
          <w:sz w:val="22"/>
          <w:szCs w:val="22"/>
        </w:rPr>
        <w:t xml:space="preserve">and shelter </w:t>
      </w:r>
      <w:r w:rsidR="002D551C">
        <w:rPr>
          <w:sz w:val="22"/>
          <w:szCs w:val="22"/>
        </w:rPr>
        <w:t>services</w:t>
      </w:r>
      <w:r w:rsidRPr="00176661">
        <w:rPr>
          <w:sz w:val="22"/>
          <w:szCs w:val="22"/>
        </w:rPr>
        <w:t xml:space="preserve"> or see rising </w:t>
      </w:r>
      <w:r w:rsidR="00D64698">
        <w:rPr>
          <w:sz w:val="22"/>
          <w:szCs w:val="22"/>
        </w:rPr>
        <w:t xml:space="preserve">unsheltered </w:t>
      </w:r>
      <w:r w:rsidRPr="00176661">
        <w:rPr>
          <w:sz w:val="22"/>
          <w:szCs w:val="22"/>
        </w:rPr>
        <w:t>homelessness.</w:t>
      </w:r>
    </w:p>
    <w:p w14:paraId="6BC2C9FB" w14:textId="6691B568" w:rsidR="00492C45" w:rsidRPr="00176661" w:rsidRDefault="00492C45" w:rsidP="00492C45">
      <w:pPr>
        <w:pStyle w:val="ListParagraph"/>
        <w:numPr>
          <w:ilvl w:val="0"/>
          <w:numId w:val="3"/>
        </w:numPr>
        <w:rPr>
          <w:sz w:val="22"/>
          <w:szCs w:val="22"/>
        </w:rPr>
      </w:pPr>
      <w:r w:rsidRPr="00176661">
        <w:rPr>
          <w:i/>
          <w:iCs/>
          <w:sz w:val="22"/>
          <w:szCs w:val="22"/>
        </w:rPr>
        <w:t>Setback in Proven Solutions:</w:t>
      </w:r>
      <w:r w:rsidRPr="00176661">
        <w:rPr>
          <w:sz w:val="22"/>
          <w:szCs w:val="22"/>
        </w:rPr>
        <w:t xml:space="preserve"> Changes contradict decades of bipartisan evidence showing permanent housing with services is the most effective and cost-efficient solution.</w:t>
      </w:r>
    </w:p>
    <w:p w14:paraId="2ACB8B3C" w14:textId="77777777" w:rsidR="00492C45" w:rsidRPr="00176661" w:rsidRDefault="00492C45" w:rsidP="003C4B3C">
      <w:pPr>
        <w:pStyle w:val="ListParagraph"/>
        <w:numPr>
          <w:ilvl w:val="0"/>
          <w:numId w:val="4"/>
        </w:numPr>
        <w:rPr>
          <w:sz w:val="22"/>
          <w:szCs w:val="22"/>
        </w:rPr>
      </w:pPr>
      <w:r w:rsidRPr="00176661">
        <w:rPr>
          <w:i/>
          <w:iCs/>
          <w:sz w:val="22"/>
          <w:szCs w:val="22"/>
        </w:rPr>
        <w:t xml:space="preserve">Private Investment Undermined: </w:t>
      </w:r>
      <w:r w:rsidRPr="00176661">
        <w:rPr>
          <w:sz w:val="22"/>
          <w:szCs w:val="22"/>
        </w:rPr>
        <w:t>Pulling federal support destabilizes public-private housing projects, risking foreclosures and decreasing landlord participation.</w:t>
      </w:r>
    </w:p>
    <w:p w14:paraId="5DA949BF" w14:textId="15B7DE2D" w:rsidR="00492C45" w:rsidRPr="00176661" w:rsidRDefault="00492C45" w:rsidP="003C4B3C">
      <w:pPr>
        <w:pStyle w:val="ListParagraph"/>
        <w:numPr>
          <w:ilvl w:val="0"/>
          <w:numId w:val="4"/>
        </w:numPr>
        <w:rPr>
          <w:sz w:val="22"/>
          <w:szCs w:val="22"/>
        </w:rPr>
      </w:pPr>
      <w:r w:rsidRPr="00176661">
        <w:rPr>
          <w:i/>
          <w:iCs/>
          <w:sz w:val="22"/>
          <w:szCs w:val="22"/>
        </w:rPr>
        <w:lastRenderedPageBreak/>
        <w:t>Reduced Local Control:</w:t>
      </w:r>
      <w:r w:rsidRPr="00176661">
        <w:rPr>
          <w:sz w:val="22"/>
          <w:szCs w:val="22"/>
        </w:rPr>
        <w:t xml:space="preserve"> HUD previously empowered local coalitions to determine what their communities needed. The new NOFO, however, caps permanent housing at 30% of the total award, regardless of demonstrated community needs</w:t>
      </w:r>
      <w:r w:rsidR="006716FC">
        <w:rPr>
          <w:sz w:val="22"/>
          <w:szCs w:val="22"/>
        </w:rPr>
        <w:t xml:space="preserve"> or previous successes. </w:t>
      </w:r>
    </w:p>
    <w:p w14:paraId="427F1322" w14:textId="77777777" w:rsidR="00492C45" w:rsidRPr="00176661" w:rsidRDefault="00492C45" w:rsidP="003C4B3C">
      <w:pPr>
        <w:pStyle w:val="ListParagraph"/>
        <w:numPr>
          <w:ilvl w:val="0"/>
          <w:numId w:val="4"/>
        </w:numPr>
        <w:rPr>
          <w:sz w:val="22"/>
          <w:szCs w:val="22"/>
        </w:rPr>
      </w:pPr>
      <w:r w:rsidRPr="00176661">
        <w:rPr>
          <w:i/>
          <w:iCs/>
          <w:sz w:val="22"/>
          <w:szCs w:val="22"/>
        </w:rPr>
        <w:t>Cost Inefficiency:</w:t>
      </w:r>
      <w:r w:rsidRPr="00176661">
        <w:rPr>
          <w:sz w:val="22"/>
          <w:szCs w:val="22"/>
        </w:rPr>
        <w:t xml:space="preserve"> Without permanent housing, individuals cycle through shelters, hospitals, and jails—costing communities far more than housing with services.</w:t>
      </w:r>
    </w:p>
    <w:p w14:paraId="5188EA0A" w14:textId="77777777" w:rsidR="003C4B3C" w:rsidRPr="00176661" w:rsidRDefault="00492C45" w:rsidP="00492C45">
      <w:pPr>
        <w:pStyle w:val="ListParagraph"/>
        <w:numPr>
          <w:ilvl w:val="0"/>
          <w:numId w:val="2"/>
        </w:numPr>
        <w:rPr>
          <w:sz w:val="22"/>
          <w:szCs w:val="22"/>
        </w:rPr>
      </w:pPr>
      <w:r w:rsidRPr="00176661">
        <w:rPr>
          <w:i/>
          <w:iCs/>
          <w:sz w:val="22"/>
          <w:szCs w:val="22"/>
        </w:rPr>
        <w:t>Economic Harm:</w:t>
      </w:r>
      <w:r w:rsidRPr="00176661">
        <w:rPr>
          <w:sz w:val="22"/>
          <w:szCs w:val="22"/>
        </w:rPr>
        <w:t xml:space="preserve"> Prioritizing earned income over housing stability may weaken tenants’ stability and reduce workforce participation.</w:t>
      </w:r>
    </w:p>
    <w:p w14:paraId="4B3E61E8" w14:textId="7B4FAAD3" w:rsidR="00492C45" w:rsidRPr="001075C4" w:rsidRDefault="00492C45" w:rsidP="00492C45">
      <w:pPr>
        <w:pStyle w:val="ListParagraph"/>
        <w:numPr>
          <w:ilvl w:val="0"/>
          <w:numId w:val="2"/>
        </w:numPr>
        <w:rPr>
          <w:sz w:val="22"/>
          <w:szCs w:val="22"/>
        </w:rPr>
      </w:pPr>
      <w:r w:rsidRPr="001075C4">
        <w:rPr>
          <w:i/>
          <w:iCs/>
          <w:sz w:val="22"/>
          <w:szCs w:val="22"/>
        </w:rPr>
        <w:t>Erosion of Congressional Authority:</w:t>
      </w:r>
      <w:r w:rsidRPr="001075C4">
        <w:rPr>
          <w:sz w:val="22"/>
          <w:szCs w:val="22"/>
        </w:rPr>
        <w:t xml:space="preserve"> Administrative shifts in homelessness policy diverge from statute and recent bipartisan appropriations bills, raising concerns about executive overreach</w:t>
      </w:r>
      <w:r w:rsidR="003C4B3C" w:rsidRPr="00176661">
        <w:rPr>
          <w:sz w:val="22"/>
          <w:szCs w:val="22"/>
        </w:rPr>
        <w:t>.</w:t>
      </w:r>
    </w:p>
    <w:p w14:paraId="2EDA7A72" w14:textId="4A7936E2" w:rsidR="00492C45" w:rsidRPr="00981483" w:rsidRDefault="00176661" w:rsidP="00492C45">
      <w:pPr>
        <w:rPr>
          <w:sz w:val="22"/>
          <w:szCs w:val="22"/>
        </w:rPr>
      </w:pPr>
      <w:r>
        <w:rPr>
          <w:b/>
          <w:bCs/>
          <w:sz w:val="22"/>
          <w:szCs w:val="22"/>
        </w:rPr>
        <w:t xml:space="preserve">III. </w:t>
      </w:r>
      <w:r w:rsidR="00365159">
        <w:rPr>
          <w:b/>
          <w:bCs/>
          <w:sz w:val="22"/>
          <w:szCs w:val="22"/>
        </w:rPr>
        <w:t>EFFECT</w:t>
      </w:r>
      <w:r w:rsidR="002F07C1" w:rsidRPr="00176661">
        <w:rPr>
          <w:b/>
          <w:bCs/>
          <w:sz w:val="22"/>
          <w:szCs w:val="22"/>
        </w:rPr>
        <w:t xml:space="preserve"> on MILWAUKEE</w:t>
      </w:r>
      <w:r w:rsidR="002F07C1" w:rsidRPr="00176661">
        <w:rPr>
          <w:b/>
          <w:bCs/>
          <w:sz w:val="22"/>
          <w:szCs w:val="22"/>
        </w:rPr>
        <w:br/>
      </w:r>
      <w:r w:rsidR="00790EA4" w:rsidRPr="00176661">
        <w:rPr>
          <w:b/>
          <w:bCs/>
          <w:sz w:val="22"/>
          <w:szCs w:val="22"/>
        </w:rPr>
        <w:t>Financial</w:t>
      </w:r>
      <w:r w:rsidR="002F07C1" w:rsidRPr="00176661">
        <w:rPr>
          <w:b/>
          <w:bCs/>
          <w:sz w:val="22"/>
          <w:szCs w:val="22"/>
        </w:rPr>
        <w:t xml:space="preserve"> Considerations</w:t>
      </w:r>
      <w:r w:rsidR="002F07C1" w:rsidRPr="00176661">
        <w:rPr>
          <w:b/>
          <w:bCs/>
          <w:sz w:val="22"/>
          <w:szCs w:val="22"/>
        </w:rPr>
        <w:br/>
      </w:r>
      <w:r w:rsidR="00492C45" w:rsidRPr="00981483">
        <w:rPr>
          <w:sz w:val="22"/>
          <w:szCs w:val="22"/>
        </w:rPr>
        <w:t xml:space="preserve">Every year, </w:t>
      </w:r>
      <w:r w:rsidR="00790EA4" w:rsidRPr="00176661">
        <w:rPr>
          <w:sz w:val="22"/>
          <w:szCs w:val="22"/>
        </w:rPr>
        <w:t>CoC funds account for</w:t>
      </w:r>
      <w:r w:rsidR="00492C45" w:rsidRPr="00981483">
        <w:rPr>
          <w:sz w:val="22"/>
          <w:szCs w:val="22"/>
        </w:rPr>
        <w:t xml:space="preserve"> over $1</w:t>
      </w:r>
      <w:r w:rsidR="00CE65EB">
        <w:rPr>
          <w:sz w:val="22"/>
          <w:szCs w:val="22"/>
        </w:rPr>
        <w:t>2</w:t>
      </w:r>
      <w:r w:rsidR="00492C45" w:rsidRPr="00981483">
        <w:rPr>
          <w:sz w:val="22"/>
          <w:szCs w:val="22"/>
        </w:rPr>
        <w:t xml:space="preserve"> million in direct rent payments to keep </w:t>
      </w:r>
      <w:r w:rsidR="00790EA4" w:rsidRPr="00176661">
        <w:rPr>
          <w:sz w:val="22"/>
          <w:szCs w:val="22"/>
        </w:rPr>
        <w:t>Milwaukee’s</w:t>
      </w:r>
      <w:r w:rsidR="00492C45" w:rsidRPr="00981483">
        <w:rPr>
          <w:sz w:val="22"/>
          <w:szCs w:val="22"/>
        </w:rPr>
        <w:t xml:space="preserve"> most vulnerable residents safely housed. These investments support thousands of individuals across more than 20 housing programs, including families with children, veterans, domestic</w:t>
      </w:r>
      <w:r w:rsidR="00790EA4" w:rsidRPr="00176661">
        <w:rPr>
          <w:sz w:val="22"/>
          <w:szCs w:val="22"/>
        </w:rPr>
        <w:t xml:space="preserve"> </w:t>
      </w:r>
      <w:r w:rsidR="00492C45" w:rsidRPr="00981483">
        <w:rPr>
          <w:sz w:val="22"/>
          <w:szCs w:val="22"/>
        </w:rPr>
        <w:t>violence survivors, young adults aging out of foster care, and medically fragile residents.</w:t>
      </w:r>
      <w:r w:rsidR="002F07C1" w:rsidRPr="00176661">
        <w:rPr>
          <w:sz w:val="22"/>
          <w:szCs w:val="22"/>
        </w:rPr>
        <w:t xml:space="preserve"> Stable housing saves taxpayers money by preventing hospitalizations, nursing home placements, and overuse of emergency services.</w:t>
      </w:r>
    </w:p>
    <w:p w14:paraId="624E78AA" w14:textId="77777777" w:rsidR="0079795F" w:rsidRDefault="00365159" w:rsidP="00790EA4">
      <w:pPr>
        <w:rPr>
          <w:sz w:val="22"/>
          <w:szCs w:val="22"/>
        </w:rPr>
      </w:pPr>
      <w:r>
        <w:rPr>
          <w:b/>
          <w:bCs/>
          <w:sz w:val="22"/>
          <w:szCs w:val="22"/>
        </w:rPr>
        <w:t>Current</w:t>
      </w:r>
      <w:r w:rsidR="00790EA4" w:rsidRPr="00981483">
        <w:rPr>
          <w:b/>
          <w:bCs/>
          <w:sz w:val="22"/>
          <w:szCs w:val="22"/>
        </w:rPr>
        <w:t xml:space="preserve"> Residents</w:t>
      </w:r>
      <w:r w:rsidR="00790EA4" w:rsidRPr="00176661">
        <w:rPr>
          <w:b/>
          <w:bCs/>
          <w:sz w:val="22"/>
          <w:szCs w:val="22"/>
        </w:rPr>
        <w:t xml:space="preserve"> in Permanent Housing</w:t>
      </w:r>
      <w:r w:rsidR="00790EA4" w:rsidRPr="00176661">
        <w:rPr>
          <w:b/>
          <w:bCs/>
          <w:sz w:val="22"/>
          <w:szCs w:val="22"/>
        </w:rPr>
        <w:br/>
      </w:r>
      <w:r w:rsidRPr="00365159">
        <w:rPr>
          <w:sz w:val="22"/>
          <w:szCs w:val="22"/>
        </w:rPr>
        <w:t xml:space="preserve">Over 2,000 </w:t>
      </w:r>
      <w:r w:rsidR="0076387C">
        <w:rPr>
          <w:sz w:val="22"/>
          <w:szCs w:val="22"/>
        </w:rPr>
        <w:t>individuals</w:t>
      </w:r>
      <w:r w:rsidRPr="00365159">
        <w:rPr>
          <w:sz w:val="22"/>
          <w:szCs w:val="22"/>
        </w:rPr>
        <w:t xml:space="preserve"> are currently housed in CoC-funded programs</w:t>
      </w:r>
      <w:r w:rsidR="00D84899">
        <w:rPr>
          <w:sz w:val="22"/>
          <w:szCs w:val="22"/>
        </w:rPr>
        <w:t xml:space="preserve">, including </w:t>
      </w:r>
      <w:r w:rsidR="0079795F">
        <w:rPr>
          <w:sz w:val="22"/>
          <w:szCs w:val="22"/>
        </w:rPr>
        <w:t>770 Children</w:t>
      </w:r>
    </w:p>
    <w:p w14:paraId="43146DB2" w14:textId="5548BB83" w:rsidR="00790EA4" w:rsidRPr="00981483" w:rsidRDefault="002F07C1" w:rsidP="00790EA4">
      <w:pPr>
        <w:rPr>
          <w:sz w:val="22"/>
          <w:szCs w:val="22"/>
        </w:rPr>
      </w:pPr>
      <w:r w:rsidRPr="00176661">
        <w:rPr>
          <w:b/>
          <w:bCs/>
          <w:i/>
          <w:iCs/>
          <w:sz w:val="22"/>
          <w:szCs w:val="22"/>
        </w:rPr>
        <w:t>Covers All Ages:</w:t>
      </w:r>
      <w:r w:rsidRPr="00176661">
        <w:rPr>
          <w:b/>
          <w:bCs/>
          <w:sz w:val="22"/>
          <w:szCs w:val="22"/>
        </w:rPr>
        <w:t xml:space="preserve"> </w:t>
      </w:r>
      <w:r w:rsidR="00790EA4" w:rsidRPr="00981483">
        <w:rPr>
          <w:sz w:val="22"/>
          <w:szCs w:val="22"/>
        </w:rPr>
        <w:t>More than 770 children are currently housed in Milwaukee’s homeless-response programs</w:t>
      </w:r>
      <w:r w:rsidR="005F261D">
        <w:rPr>
          <w:sz w:val="22"/>
          <w:szCs w:val="22"/>
        </w:rPr>
        <w:t>,</w:t>
      </w:r>
      <w:r w:rsidR="00790EA4" w:rsidRPr="00981483">
        <w:rPr>
          <w:sz w:val="22"/>
          <w:szCs w:val="22"/>
        </w:rPr>
        <w:t xml:space="preserve"> including 231 under age 5, 362 ages 5</w:t>
      </w:r>
      <w:r w:rsidR="00FE3FFE">
        <w:rPr>
          <w:sz w:val="22"/>
          <w:szCs w:val="22"/>
        </w:rPr>
        <w:t xml:space="preserve"> to</w:t>
      </w:r>
      <w:r w:rsidR="00BB7B8B">
        <w:rPr>
          <w:sz w:val="22"/>
          <w:szCs w:val="22"/>
        </w:rPr>
        <w:t xml:space="preserve"> </w:t>
      </w:r>
      <w:r w:rsidR="00790EA4" w:rsidRPr="00981483">
        <w:rPr>
          <w:sz w:val="22"/>
          <w:szCs w:val="22"/>
        </w:rPr>
        <w:t>12, and 184 teens ages 13</w:t>
      </w:r>
      <w:r w:rsidR="00FE3FFE">
        <w:rPr>
          <w:sz w:val="22"/>
          <w:szCs w:val="22"/>
        </w:rPr>
        <w:t xml:space="preserve"> to</w:t>
      </w:r>
      <w:r w:rsidR="00BB7B8B">
        <w:rPr>
          <w:sz w:val="22"/>
          <w:szCs w:val="22"/>
        </w:rPr>
        <w:t xml:space="preserve"> </w:t>
      </w:r>
      <w:r w:rsidR="00790EA4" w:rsidRPr="00981483">
        <w:rPr>
          <w:sz w:val="22"/>
          <w:szCs w:val="22"/>
        </w:rPr>
        <w:t>17.</w:t>
      </w:r>
      <w:r w:rsidR="00790EA4" w:rsidRPr="00176661">
        <w:rPr>
          <w:sz w:val="22"/>
          <w:szCs w:val="22"/>
        </w:rPr>
        <w:t xml:space="preserve"> </w:t>
      </w:r>
      <w:r w:rsidR="00790EA4" w:rsidRPr="00981483">
        <w:rPr>
          <w:sz w:val="22"/>
          <w:szCs w:val="22"/>
        </w:rPr>
        <w:t>Many are in programs now threatened under the federal rule changes.</w:t>
      </w:r>
      <w:r w:rsidRPr="00176661">
        <w:rPr>
          <w:sz w:val="22"/>
          <w:szCs w:val="22"/>
        </w:rPr>
        <w:t xml:space="preserve"> </w:t>
      </w:r>
      <w:r w:rsidR="00790EA4" w:rsidRPr="00176661">
        <w:rPr>
          <w:sz w:val="22"/>
          <w:szCs w:val="22"/>
        </w:rPr>
        <w:t>Young Adults</w:t>
      </w:r>
      <w:r w:rsidRPr="00176661">
        <w:rPr>
          <w:sz w:val="22"/>
          <w:szCs w:val="22"/>
        </w:rPr>
        <w:t xml:space="preserve"> ages 18 to 24 account for 154 </w:t>
      </w:r>
      <w:r w:rsidR="00790EA4" w:rsidRPr="00981483">
        <w:rPr>
          <w:sz w:val="22"/>
          <w:szCs w:val="22"/>
        </w:rPr>
        <w:t xml:space="preserve">residents </w:t>
      </w:r>
      <w:r w:rsidRPr="00176661">
        <w:rPr>
          <w:sz w:val="22"/>
          <w:szCs w:val="22"/>
        </w:rPr>
        <w:t>who</w:t>
      </w:r>
      <w:r w:rsidR="00790EA4" w:rsidRPr="00981483">
        <w:rPr>
          <w:sz w:val="22"/>
          <w:szCs w:val="22"/>
        </w:rPr>
        <w:t xml:space="preserve"> rely on these programs, many aging out of foster care or escaping unsafe homes.</w:t>
      </w:r>
      <w:r w:rsidRPr="00176661">
        <w:rPr>
          <w:sz w:val="22"/>
          <w:szCs w:val="22"/>
        </w:rPr>
        <w:t xml:space="preserve"> </w:t>
      </w:r>
      <w:proofErr w:type="gramStart"/>
      <w:r w:rsidRPr="00176661">
        <w:rPr>
          <w:sz w:val="22"/>
          <w:szCs w:val="22"/>
        </w:rPr>
        <w:t>The majority of</w:t>
      </w:r>
      <w:proofErr w:type="gramEnd"/>
      <w:r w:rsidRPr="00176661">
        <w:rPr>
          <w:sz w:val="22"/>
          <w:szCs w:val="22"/>
        </w:rPr>
        <w:t xml:space="preserve"> permanent housing residents are working-age adults and seniors, including </w:t>
      </w:r>
      <w:r w:rsidR="00790EA4" w:rsidRPr="00176661">
        <w:rPr>
          <w:sz w:val="22"/>
          <w:szCs w:val="22"/>
        </w:rPr>
        <w:t xml:space="preserve">560 individuals </w:t>
      </w:r>
      <w:r w:rsidR="00B52F19" w:rsidRPr="00176661">
        <w:rPr>
          <w:sz w:val="22"/>
          <w:szCs w:val="22"/>
        </w:rPr>
        <w:t>age</w:t>
      </w:r>
      <w:r w:rsidR="00B52F19">
        <w:rPr>
          <w:sz w:val="22"/>
          <w:szCs w:val="22"/>
        </w:rPr>
        <w:t>s</w:t>
      </w:r>
      <w:r w:rsidR="00790EA4" w:rsidRPr="00176661">
        <w:rPr>
          <w:sz w:val="22"/>
          <w:szCs w:val="22"/>
        </w:rPr>
        <w:t xml:space="preserve"> 25</w:t>
      </w:r>
      <w:r w:rsidR="00FE3FFE">
        <w:rPr>
          <w:sz w:val="22"/>
          <w:szCs w:val="22"/>
        </w:rPr>
        <w:t xml:space="preserve"> to </w:t>
      </w:r>
      <w:r w:rsidR="00790EA4" w:rsidRPr="00176661">
        <w:rPr>
          <w:sz w:val="22"/>
          <w:szCs w:val="22"/>
        </w:rPr>
        <w:t>44, 590 individuals a</w:t>
      </w:r>
      <w:r w:rsidR="00790EA4" w:rsidRPr="00981483">
        <w:rPr>
          <w:sz w:val="22"/>
          <w:szCs w:val="22"/>
        </w:rPr>
        <w:t>ges 45</w:t>
      </w:r>
      <w:r w:rsidR="00FE3FFE">
        <w:rPr>
          <w:sz w:val="22"/>
          <w:szCs w:val="22"/>
        </w:rPr>
        <w:t xml:space="preserve"> to </w:t>
      </w:r>
      <w:r w:rsidR="00790EA4" w:rsidRPr="00981483">
        <w:rPr>
          <w:sz w:val="22"/>
          <w:szCs w:val="22"/>
        </w:rPr>
        <w:t>64</w:t>
      </w:r>
      <w:r w:rsidR="00790EA4" w:rsidRPr="00176661">
        <w:rPr>
          <w:sz w:val="22"/>
          <w:szCs w:val="22"/>
        </w:rPr>
        <w:t xml:space="preserve">, </w:t>
      </w:r>
      <w:r w:rsidRPr="00176661">
        <w:rPr>
          <w:sz w:val="22"/>
          <w:szCs w:val="22"/>
        </w:rPr>
        <w:t>and</w:t>
      </w:r>
      <w:r w:rsidR="00BB7B8B">
        <w:rPr>
          <w:sz w:val="22"/>
          <w:szCs w:val="22"/>
        </w:rPr>
        <w:t xml:space="preserve"> </w:t>
      </w:r>
      <w:r w:rsidR="00790EA4" w:rsidRPr="00176661">
        <w:rPr>
          <w:sz w:val="22"/>
          <w:szCs w:val="22"/>
        </w:rPr>
        <w:t xml:space="preserve">145 </w:t>
      </w:r>
      <w:r w:rsidR="00790EA4" w:rsidRPr="00981483">
        <w:rPr>
          <w:sz w:val="22"/>
          <w:szCs w:val="22"/>
        </w:rPr>
        <w:t>individuals</w:t>
      </w:r>
      <w:r w:rsidR="00790EA4" w:rsidRPr="00176661">
        <w:rPr>
          <w:sz w:val="22"/>
          <w:szCs w:val="22"/>
        </w:rPr>
        <w:t xml:space="preserve"> </w:t>
      </w:r>
      <w:proofErr w:type="gramStart"/>
      <w:r w:rsidR="00B52F19" w:rsidRPr="00176661">
        <w:rPr>
          <w:sz w:val="22"/>
          <w:szCs w:val="22"/>
        </w:rPr>
        <w:t>age</w:t>
      </w:r>
      <w:r w:rsidR="00B52F19">
        <w:rPr>
          <w:sz w:val="22"/>
          <w:szCs w:val="22"/>
        </w:rPr>
        <w:t>s</w:t>
      </w:r>
      <w:proofErr w:type="gramEnd"/>
      <w:r w:rsidR="00790EA4" w:rsidRPr="00176661">
        <w:rPr>
          <w:sz w:val="22"/>
          <w:szCs w:val="22"/>
        </w:rPr>
        <w:t xml:space="preserve"> 65 and older, </w:t>
      </w:r>
      <w:r w:rsidR="00790EA4" w:rsidRPr="00981483">
        <w:rPr>
          <w:sz w:val="22"/>
          <w:szCs w:val="22"/>
        </w:rPr>
        <w:t>many in supportive housing with fixed incomes that cannot keep pace with rent increases.</w:t>
      </w:r>
    </w:p>
    <w:p w14:paraId="75F43F1F" w14:textId="00051613" w:rsidR="00790EA4" w:rsidRPr="00981483" w:rsidRDefault="003C4B3C" w:rsidP="00790EA4">
      <w:pPr>
        <w:rPr>
          <w:sz w:val="22"/>
          <w:szCs w:val="22"/>
        </w:rPr>
      </w:pPr>
      <w:r w:rsidRPr="00176661">
        <w:rPr>
          <w:b/>
          <w:bCs/>
          <w:i/>
          <w:iCs/>
          <w:sz w:val="22"/>
          <w:szCs w:val="22"/>
        </w:rPr>
        <w:t>Most PH Residents Have a Disability</w:t>
      </w:r>
      <w:r w:rsidR="002F07C1" w:rsidRPr="00176661">
        <w:rPr>
          <w:b/>
          <w:bCs/>
          <w:i/>
          <w:iCs/>
          <w:sz w:val="22"/>
          <w:szCs w:val="22"/>
        </w:rPr>
        <w:t>:</w:t>
      </w:r>
      <w:r w:rsidR="002F07C1" w:rsidRPr="00176661">
        <w:rPr>
          <w:b/>
          <w:bCs/>
          <w:sz w:val="22"/>
          <w:szCs w:val="22"/>
        </w:rPr>
        <w:t xml:space="preserve"> </w:t>
      </w:r>
      <w:r w:rsidR="00790EA4" w:rsidRPr="00981483">
        <w:rPr>
          <w:sz w:val="22"/>
          <w:szCs w:val="22"/>
        </w:rPr>
        <w:t>Milwaukee’s supportive housing programs serve residents facing significant health challenges</w:t>
      </w:r>
      <w:r w:rsidR="002F07C1" w:rsidRPr="00176661">
        <w:rPr>
          <w:sz w:val="22"/>
          <w:szCs w:val="22"/>
        </w:rPr>
        <w:t xml:space="preserve">, including </w:t>
      </w:r>
      <w:r w:rsidR="00790EA4" w:rsidRPr="00981483">
        <w:rPr>
          <w:sz w:val="22"/>
          <w:szCs w:val="22"/>
        </w:rPr>
        <w:t>1,049 with diagnosed mental-health disorders</w:t>
      </w:r>
      <w:r w:rsidR="002F07C1" w:rsidRPr="00176661">
        <w:rPr>
          <w:sz w:val="22"/>
          <w:szCs w:val="22"/>
        </w:rPr>
        <w:t xml:space="preserve">, </w:t>
      </w:r>
      <w:r w:rsidR="00790EA4" w:rsidRPr="00981483">
        <w:rPr>
          <w:sz w:val="22"/>
          <w:szCs w:val="22"/>
        </w:rPr>
        <w:t>339 with chronic health conditions</w:t>
      </w:r>
      <w:r w:rsidR="002F07C1" w:rsidRPr="00176661">
        <w:rPr>
          <w:sz w:val="22"/>
          <w:szCs w:val="22"/>
        </w:rPr>
        <w:t xml:space="preserve">, </w:t>
      </w:r>
      <w:r w:rsidR="00790EA4" w:rsidRPr="00981483">
        <w:rPr>
          <w:sz w:val="22"/>
          <w:szCs w:val="22"/>
        </w:rPr>
        <w:t>321 with physical disabilities</w:t>
      </w:r>
      <w:r w:rsidR="002F07C1" w:rsidRPr="00176661">
        <w:rPr>
          <w:sz w:val="22"/>
          <w:szCs w:val="22"/>
        </w:rPr>
        <w:t xml:space="preserve">, and </w:t>
      </w:r>
      <w:r w:rsidR="00790EA4" w:rsidRPr="00981483">
        <w:rPr>
          <w:sz w:val="22"/>
          <w:szCs w:val="22"/>
        </w:rPr>
        <w:t>134 with co-occurring substance-use disorders</w:t>
      </w:r>
      <w:r w:rsidR="002F07C1" w:rsidRPr="00176661">
        <w:rPr>
          <w:sz w:val="22"/>
          <w:szCs w:val="22"/>
        </w:rPr>
        <w:t>.</w:t>
      </w:r>
      <w:r w:rsidR="006F7186">
        <w:rPr>
          <w:sz w:val="22"/>
          <w:szCs w:val="22"/>
        </w:rPr>
        <w:t xml:space="preserve"> Loss of housing and supportive services for these individuals will add demand to other hospital systems, law enforcement, and other services.</w:t>
      </w:r>
    </w:p>
    <w:p w14:paraId="7AB332C0" w14:textId="6A816678" w:rsidR="00790EA4" w:rsidRPr="00981483" w:rsidRDefault="003C4B3C" w:rsidP="00790EA4">
      <w:pPr>
        <w:rPr>
          <w:sz w:val="22"/>
          <w:szCs w:val="22"/>
        </w:rPr>
      </w:pPr>
      <w:r w:rsidRPr="00176661">
        <w:rPr>
          <w:b/>
          <w:bCs/>
          <w:i/>
          <w:iCs/>
          <w:sz w:val="22"/>
          <w:szCs w:val="22"/>
        </w:rPr>
        <w:t xml:space="preserve">PH </w:t>
      </w:r>
      <w:r w:rsidR="00790EA4" w:rsidRPr="00981483">
        <w:rPr>
          <w:b/>
          <w:bCs/>
          <w:i/>
          <w:iCs/>
          <w:sz w:val="22"/>
          <w:szCs w:val="22"/>
        </w:rPr>
        <w:t>Residents Cannot Afford Rent Without Help</w:t>
      </w:r>
      <w:r w:rsidRPr="00176661">
        <w:rPr>
          <w:b/>
          <w:bCs/>
          <w:i/>
          <w:iCs/>
          <w:sz w:val="22"/>
          <w:szCs w:val="22"/>
        </w:rPr>
        <w:t xml:space="preserve">: </w:t>
      </w:r>
      <w:r w:rsidR="00790EA4" w:rsidRPr="00F95EF3">
        <w:rPr>
          <w:sz w:val="22"/>
          <w:szCs w:val="22"/>
        </w:rPr>
        <w:t>Among</w:t>
      </w:r>
      <w:r w:rsidR="00790EA4" w:rsidRPr="00981483">
        <w:rPr>
          <w:sz w:val="22"/>
          <w:szCs w:val="22"/>
        </w:rPr>
        <w:t xml:space="preserve"> residents currently in Milwaukee’s supportive housing system</w:t>
      </w:r>
      <w:r w:rsidR="002F07C1" w:rsidRPr="00176661">
        <w:rPr>
          <w:sz w:val="22"/>
          <w:szCs w:val="22"/>
        </w:rPr>
        <w:t>,</w:t>
      </w:r>
      <w:r w:rsidR="00790EA4" w:rsidRPr="00981483">
        <w:rPr>
          <w:sz w:val="22"/>
          <w:szCs w:val="22"/>
        </w:rPr>
        <w:t xml:space="preserve"> 826 individuals have no income at all</w:t>
      </w:r>
      <w:r w:rsidR="002F07C1" w:rsidRPr="00176661">
        <w:rPr>
          <w:sz w:val="22"/>
          <w:szCs w:val="22"/>
        </w:rPr>
        <w:t xml:space="preserve">, </w:t>
      </w:r>
      <w:r w:rsidR="00790EA4" w:rsidRPr="00981483">
        <w:rPr>
          <w:sz w:val="22"/>
          <w:szCs w:val="22"/>
        </w:rPr>
        <w:t>347 earn only $501–$1,000 per month</w:t>
      </w:r>
      <w:r w:rsidR="002F07C1" w:rsidRPr="00176661">
        <w:rPr>
          <w:sz w:val="22"/>
          <w:szCs w:val="22"/>
        </w:rPr>
        <w:t xml:space="preserve">, and </w:t>
      </w:r>
      <w:r w:rsidR="00790EA4" w:rsidRPr="00981483">
        <w:rPr>
          <w:sz w:val="22"/>
          <w:szCs w:val="22"/>
        </w:rPr>
        <w:t>146 earn $1,001–$1,500 — still far below market rent in Milwaukee</w:t>
      </w:r>
      <w:r w:rsidR="002F07C1" w:rsidRPr="00176661">
        <w:rPr>
          <w:sz w:val="22"/>
          <w:szCs w:val="22"/>
        </w:rPr>
        <w:t xml:space="preserve">. </w:t>
      </w:r>
      <w:r w:rsidR="00790EA4" w:rsidRPr="00981483">
        <w:rPr>
          <w:sz w:val="22"/>
          <w:szCs w:val="22"/>
        </w:rPr>
        <w:t>Without assistance, many would become homeless within days.</w:t>
      </w:r>
    </w:p>
    <w:p w14:paraId="22EB597E" w14:textId="47A69149" w:rsidR="00790EA4" w:rsidRPr="00981483" w:rsidRDefault="00790EA4" w:rsidP="00790EA4">
      <w:pPr>
        <w:rPr>
          <w:sz w:val="22"/>
          <w:szCs w:val="22"/>
        </w:rPr>
      </w:pPr>
      <w:r w:rsidRPr="00981483">
        <w:rPr>
          <w:b/>
          <w:bCs/>
          <w:sz w:val="22"/>
          <w:szCs w:val="22"/>
        </w:rPr>
        <w:t>Long-Term Housing Stability Shows the Programs Work</w:t>
      </w:r>
      <w:r w:rsidR="003C4B3C" w:rsidRPr="00176661">
        <w:rPr>
          <w:b/>
          <w:bCs/>
          <w:sz w:val="22"/>
          <w:szCs w:val="22"/>
        </w:rPr>
        <w:br/>
      </w:r>
      <w:r w:rsidR="003C4B3C" w:rsidRPr="00176661">
        <w:rPr>
          <w:sz w:val="22"/>
          <w:szCs w:val="22"/>
        </w:rPr>
        <w:t xml:space="preserve">Of the current 2,000 individuals currently in permanent housing programs, </w:t>
      </w:r>
      <w:r w:rsidRPr="00981483">
        <w:rPr>
          <w:sz w:val="22"/>
          <w:szCs w:val="22"/>
        </w:rPr>
        <w:t>549 residents have remained stably housed for over five years</w:t>
      </w:r>
      <w:r w:rsidR="003C4B3C" w:rsidRPr="00176661">
        <w:rPr>
          <w:sz w:val="22"/>
          <w:szCs w:val="22"/>
        </w:rPr>
        <w:t xml:space="preserve">, and </w:t>
      </w:r>
      <w:r w:rsidRPr="00981483">
        <w:rPr>
          <w:sz w:val="22"/>
          <w:szCs w:val="22"/>
        </w:rPr>
        <w:t>610 have maintained housing for 1</w:t>
      </w:r>
      <w:r w:rsidR="002F4F76">
        <w:rPr>
          <w:sz w:val="22"/>
          <w:szCs w:val="22"/>
        </w:rPr>
        <w:t xml:space="preserve"> to </w:t>
      </w:r>
      <w:r w:rsidRPr="00981483">
        <w:rPr>
          <w:sz w:val="22"/>
          <w:szCs w:val="22"/>
        </w:rPr>
        <w:t xml:space="preserve">2 years after </w:t>
      </w:r>
      <w:r w:rsidR="00EB1651" w:rsidRPr="00981483">
        <w:rPr>
          <w:sz w:val="22"/>
          <w:szCs w:val="22"/>
        </w:rPr>
        <w:t>extended periods</w:t>
      </w:r>
      <w:r w:rsidRPr="00981483">
        <w:rPr>
          <w:sz w:val="22"/>
          <w:szCs w:val="22"/>
        </w:rPr>
        <w:t xml:space="preserve"> of homelessness</w:t>
      </w:r>
      <w:r w:rsidR="003C4B3C" w:rsidRPr="00176661">
        <w:rPr>
          <w:sz w:val="22"/>
          <w:szCs w:val="22"/>
        </w:rPr>
        <w:t xml:space="preserve">. Permanent housing works because people stay housed, rebuild their lives, and do not return to homelessness. </w:t>
      </w:r>
    </w:p>
    <w:p w14:paraId="65F7F997" w14:textId="270E4549" w:rsidR="00365159" w:rsidRPr="00176661" w:rsidRDefault="00790EA4" w:rsidP="00365159">
      <w:pPr>
        <w:rPr>
          <w:sz w:val="22"/>
          <w:szCs w:val="22"/>
        </w:rPr>
      </w:pPr>
      <w:r w:rsidRPr="00981483">
        <w:rPr>
          <w:b/>
          <w:bCs/>
          <w:sz w:val="22"/>
          <w:szCs w:val="22"/>
        </w:rPr>
        <w:t>A System Running at Full Capacity</w:t>
      </w:r>
      <w:r w:rsidR="00B16FD6" w:rsidRPr="00176661">
        <w:rPr>
          <w:b/>
          <w:bCs/>
          <w:sz w:val="22"/>
          <w:szCs w:val="22"/>
        </w:rPr>
        <w:br/>
      </w:r>
      <w:r w:rsidRPr="00981483">
        <w:rPr>
          <w:sz w:val="22"/>
          <w:szCs w:val="22"/>
        </w:rPr>
        <w:t>Most Milwaukee housing programs operate near or above 90% utilization year-round, demonstrating</w:t>
      </w:r>
      <w:r w:rsidR="00B16FD6" w:rsidRPr="00176661">
        <w:rPr>
          <w:sz w:val="22"/>
          <w:szCs w:val="22"/>
        </w:rPr>
        <w:t xml:space="preserve"> e</w:t>
      </w:r>
      <w:r w:rsidRPr="00981483">
        <w:rPr>
          <w:sz w:val="22"/>
          <w:szCs w:val="22"/>
        </w:rPr>
        <w:t>fficient use of resources</w:t>
      </w:r>
      <w:r w:rsidR="00B16FD6" w:rsidRPr="00176661">
        <w:rPr>
          <w:sz w:val="22"/>
          <w:szCs w:val="22"/>
        </w:rPr>
        <w:t>, hi</w:t>
      </w:r>
      <w:r w:rsidRPr="00981483">
        <w:rPr>
          <w:sz w:val="22"/>
          <w:szCs w:val="22"/>
        </w:rPr>
        <w:t>gh demand</w:t>
      </w:r>
      <w:r w:rsidR="00B16FD6" w:rsidRPr="00176661">
        <w:rPr>
          <w:sz w:val="22"/>
          <w:szCs w:val="22"/>
        </w:rPr>
        <w:t>, and no</w:t>
      </w:r>
      <w:r w:rsidRPr="00981483">
        <w:rPr>
          <w:sz w:val="22"/>
          <w:szCs w:val="22"/>
        </w:rPr>
        <w:t xml:space="preserve"> excess capacity.</w:t>
      </w:r>
      <w:r w:rsidR="00365159">
        <w:rPr>
          <w:sz w:val="22"/>
          <w:szCs w:val="22"/>
        </w:rPr>
        <w:t xml:space="preserve"> </w:t>
      </w:r>
      <w:r w:rsidR="00430209">
        <w:rPr>
          <w:sz w:val="22"/>
          <w:szCs w:val="22"/>
        </w:rPr>
        <w:t xml:space="preserve">Milwaukee stands to lose critical housing capacity due to </w:t>
      </w:r>
      <w:r w:rsidR="00365159" w:rsidRPr="00176661">
        <w:rPr>
          <w:sz w:val="22"/>
          <w:szCs w:val="22"/>
        </w:rPr>
        <w:t>HUD’s upcoming changes</w:t>
      </w:r>
      <w:r w:rsidR="00B8150D">
        <w:rPr>
          <w:sz w:val="22"/>
          <w:szCs w:val="22"/>
        </w:rPr>
        <w:t xml:space="preserve">, </w:t>
      </w:r>
      <w:r w:rsidR="00365159" w:rsidRPr="00176661">
        <w:rPr>
          <w:sz w:val="22"/>
          <w:szCs w:val="22"/>
        </w:rPr>
        <w:t xml:space="preserve">especially restrictions on how much federal funding can support certain </w:t>
      </w:r>
      <w:r w:rsidR="00EB1651" w:rsidRPr="00176661">
        <w:rPr>
          <w:sz w:val="22"/>
          <w:szCs w:val="22"/>
        </w:rPr>
        <w:t>types of housing</w:t>
      </w:r>
      <w:r w:rsidR="00430209">
        <w:rPr>
          <w:sz w:val="22"/>
          <w:szCs w:val="22"/>
        </w:rPr>
        <w:t>.</w:t>
      </w:r>
    </w:p>
    <w:p w14:paraId="2B19D545" w14:textId="77777777" w:rsidR="00176661" w:rsidRPr="00176661" w:rsidRDefault="00176661" w:rsidP="00365159">
      <w:pPr>
        <w:rPr>
          <w:sz w:val="22"/>
          <w:szCs w:val="22"/>
        </w:rPr>
      </w:pPr>
      <w:r w:rsidRPr="00176661">
        <w:rPr>
          <w:sz w:val="22"/>
          <w:szCs w:val="22"/>
        </w:rPr>
        <w:t>When funding is reduced:</w:t>
      </w:r>
    </w:p>
    <w:p w14:paraId="19178176" w14:textId="77777777" w:rsidR="00176661" w:rsidRPr="00365159" w:rsidRDefault="00176661" w:rsidP="00365159">
      <w:pPr>
        <w:pStyle w:val="ListParagraph"/>
        <w:numPr>
          <w:ilvl w:val="0"/>
          <w:numId w:val="7"/>
        </w:numPr>
        <w:rPr>
          <w:sz w:val="22"/>
          <w:szCs w:val="22"/>
        </w:rPr>
      </w:pPr>
      <w:r w:rsidRPr="00365159">
        <w:rPr>
          <w:sz w:val="22"/>
          <w:szCs w:val="22"/>
        </w:rPr>
        <w:lastRenderedPageBreak/>
        <w:t>Men, women, and children will lose their housing.</w:t>
      </w:r>
    </w:p>
    <w:p w14:paraId="35CE4F57" w14:textId="77777777" w:rsidR="00176661" w:rsidRPr="00365159" w:rsidRDefault="00176661" w:rsidP="00365159">
      <w:pPr>
        <w:pStyle w:val="ListParagraph"/>
        <w:numPr>
          <w:ilvl w:val="0"/>
          <w:numId w:val="7"/>
        </w:numPr>
        <w:rPr>
          <w:sz w:val="22"/>
          <w:szCs w:val="22"/>
        </w:rPr>
      </w:pPr>
      <w:r w:rsidRPr="00365159">
        <w:rPr>
          <w:sz w:val="22"/>
          <w:szCs w:val="22"/>
        </w:rPr>
        <w:t>Individuals with severe disabilities will destabilize.</w:t>
      </w:r>
    </w:p>
    <w:p w14:paraId="46C69908" w14:textId="29CB16BA" w:rsidR="00176661" w:rsidRPr="00365159" w:rsidRDefault="00176661" w:rsidP="00365159">
      <w:pPr>
        <w:pStyle w:val="ListParagraph"/>
        <w:numPr>
          <w:ilvl w:val="0"/>
          <w:numId w:val="7"/>
        </w:numPr>
        <w:rPr>
          <w:sz w:val="22"/>
          <w:szCs w:val="22"/>
        </w:rPr>
      </w:pPr>
      <w:r w:rsidRPr="00365159">
        <w:rPr>
          <w:sz w:val="22"/>
          <w:szCs w:val="22"/>
        </w:rPr>
        <w:t xml:space="preserve">Schools will see more students </w:t>
      </w:r>
      <w:r w:rsidR="00EB1651" w:rsidRPr="00365159">
        <w:rPr>
          <w:sz w:val="22"/>
          <w:szCs w:val="22"/>
        </w:rPr>
        <w:t>becoming</w:t>
      </w:r>
      <w:r w:rsidRPr="00365159">
        <w:rPr>
          <w:sz w:val="22"/>
          <w:szCs w:val="22"/>
        </w:rPr>
        <w:t xml:space="preserve"> </w:t>
      </w:r>
      <w:r w:rsidR="00EB1651" w:rsidRPr="00365159">
        <w:rPr>
          <w:sz w:val="22"/>
          <w:szCs w:val="22"/>
        </w:rPr>
        <w:t>homeless</w:t>
      </w:r>
      <w:r w:rsidRPr="00365159">
        <w:rPr>
          <w:sz w:val="22"/>
          <w:szCs w:val="22"/>
        </w:rPr>
        <w:t>.</w:t>
      </w:r>
    </w:p>
    <w:p w14:paraId="4BE99096" w14:textId="77777777" w:rsidR="00176661" w:rsidRPr="00365159" w:rsidRDefault="00176661" w:rsidP="00365159">
      <w:pPr>
        <w:pStyle w:val="ListParagraph"/>
        <w:numPr>
          <w:ilvl w:val="0"/>
          <w:numId w:val="7"/>
        </w:numPr>
        <w:rPr>
          <w:sz w:val="22"/>
          <w:szCs w:val="22"/>
        </w:rPr>
      </w:pPr>
      <w:r w:rsidRPr="00365159">
        <w:rPr>
          <w:sz w:val="22"/>
          <w:szCs w:val="22"/>
        </w:rPr>
        <w:t>Hospitals and emergency services will see increased usage.</w:t>
      </w:r>
    </w:p>
    <w:p w14:paraId="5A5CABAC" w14:textId="77777777" w:rsidR="00176661" w:rsidRPr="00365159" w:rsidRDefault="00176661" w:rsidP="00365159">
      <w:pPr>
        <w:pStyle w:val="ListParagraph"/>
        <w:numPr>
          <w:ilvl w:val="0"/>
          <w:numId w:val="7"/>
        </w:numPr>
        <w:rPr>
          <w:sz w:val="22"/>
          <w:szCs w:val="22"/>
        </w:rPr>
      </w:pPr>
      <w:r w:rsidRPr="00365159">
        <w:rPr>
          <w:sz w:val="22"/>
          <w:szCs w:val="22"/>
        </w:rPr>
        <w:t>Landlords lose millions in reliable rent payments, destabilizing Milwaukee’s affordable housing stock.</w:t>
      </w:r>
    </w:p>
    <w:p w14:paraId="0FFC3EAF" w14:textId="25FB7DAB" w:rsidR="00365159" w:rsidRPr="00365159" w:rsidRDefault="00EB1651" w:rsidP="00365159">
      <w:pPr>
        <w:rPr>
          <w:sz w:val="22"/>
          <w:szCs w:val="22"/>
        </w:rPr>
      </w:pPr>
      <w:r w:rsidRPr="00EB1651">
        <w:rPr>
          <w:b/>
          <w:bCs/>
          <w:sz w:val="22"/>
          <w:szCs w:val="22"/>
        </w:rPr>
        <w:t>A Community Commitment to Ending Homelessness</w:t>
      </w:r>
      <w:r w:rsidRPr="00EB1651">
        <w:rPr>
          <w:b/>
          <w:bCs/>
          <w:sz w:val="22"/>
          <w:szCs w:val="22"/>
        </w:rPr>
        <w:br/>
      </w:r>
      <w:proofErr w:type="spellStart"/>
      <w:r>
        <w:rPr>
          <w:sz w:val="22"/>
          <w:szCs w:val="22"/>
        </w:rPr>
        <w:t>H</w:t>
      </w:r>
      <w:r w:rsidR="00365159" w:rsidRPr="00365159">
        <w:rPr>
          <w:sz w:val="22"/>
          <w:szCs w:val="22"/>
        </w:rPr>
        <w:t>omelessness</w:t>
      </w:r>
      <w:proofErr w:type="spellEnd"/>
      <w:r w:rsidR="00365159" w:rsidRPr="00365159">
        <w:rPr>
          <w:sz w:val="22"/>
          <w:szCs w:val="22"/>
        </w:rPr>
        <w:t xml:space="preserve"> is not a moral failure</w:t>
      </w:r>
      <w:r w:rsidR="00F54390">
        <w:rPr>
          <w:sz w:val="22"/>
          <w:szCs w:val="22"/>
        </w:rPr>
        <w:t>;</w:t>
      </w:r>
      <w:r w:rsidR="00365159" w:rsidRPr="00365159">
        <w:rPr>
          <w:sz w:val="22"/>
          <w:szCs w:val="22"/>
        </w:rPr>
        <w:t xml:space="preserve"> it is a systemic challenge that Milwaukee is committed to solving. </w:t>
      </w:r>
      <w:r w:rsidR="00365159" w:rsidRPr="00176661">
        <w:rPr>
          <w:sz w:val="22"/>
          <w:szCs w:val="22"/>
        </w:rPr>
        <w:t>This is not only a humanitarian issue</w:t>
      </w:r>
      <w:r w:rsidR="00495789">
        <w:rPr>
          <w:sz w:val="22"/>
          <w:szCs w:val="22"/>
        </w:rPr>
        <w:t xml:space="preserve"> – </w:t>
      </w:r>
      <w:r w:rsidR="00365159" w:rsidRPr="00176661">
        <w:rPr>
          <w:sz w:val="22"/>
          <w:szCs w:val="22"/>
        </w:rPr>
        <w:t>i</w:t>
      </w:r>
      <w:r w:rsidR="00495789">
        <w:rPr>
          <w:sz w:val="22"/>
          <w:szCs w:val="22"/>
        </w:rPr>
        <w:t>t’</w:t>
      </w:r>
      <w:r w:rsidR="00365159" w:rsidRPr="00176661">
        <w:rPr>
          <w:sz w:val="22"/>
          <w:szCs w:val="22"/>
        </w:rPr>
        <w:t>s an economic one. We are talking about millions in federal rent payments at risk, which landlords rely on to maintain affordable units in our city.</w:t>
      </w:r>
      <w:r w:rsidR="00365159">
        <w:rPr>
          <w:sz w:val="22"/>
          <w:szCs w:val="22"/>
        </w:rPr>
        <w:t xml:space="preserve"> </w:t>
      </w:r>
      <w:r w:rsidR="00365159" w:rsidRPr="00365159">
        <w:rPr>
          <w:sz w:val="22"/>
          <w:szCs w:val="22"/>
        </w:rPr>
        <w:t>We house children, families, veterans, seniors, and people with profound health needs. We invest millions each year because housing stability strengthens our city. But with upcoming federal changes, hundreds of Milwaukee residents, infants to elders, could lose the homes that keep them safe. We call on our community, our partners, and our federal leaders to stand with us. Milwaukee believes that every resident deserves dignity, safety, and a place to call home.</w:t>
      </w:r>
    </w:p>
    <w:p w14:paraId="5F7CEE78" w14:textId="57AE1D22" w:rsidR="003328D8" w:rsidRDefault="00E01BE2" w:rsidP="003328D8">
      <w:pPr>
        <w:rPr>
          <w:sz w:val="22"/>
          <w:szCs w:val="22"/>
        </w:rPr>
      </w:pPr>
      <w:r>
        <w:rPr>
          <w:b/>
          <w:bCs/>
          <w:sz w:val="22"/>
          <w:szCs w:val="22"/>
        </w:rPr>
        <w:t>IV. CALL to ACTION</w:t>
      </w:r>
      <w:r>
        <w:rPr>
          <w:b/>
          <w:bCs/>
          <w:sz w:val="22"/>
          <w:szCs w:val="22"/>
        </w:rPr>
        <w:br/>
      </w:r>
      <w:r w:rsidR="003328D8">
        <w:rPr>
          <w:sz w:val="22"/>
          <w:szCs w:val="22"/>
        </w:rPr>
        <w:t>The best outcome is for HUD to withdraw the FY2025 NOFO and continue to fund current CoC projects for another 12 months, as was the intent of the two-year FY2024 NOFO.</w:t>
      </w:r>
      <w:r w:rsidR="003328D8" w:rsidRPr="00E01BE2">
        <w:rPr>
          <w:b/>
          <w:bCs/>
          <w:sz w:val="22"/>
          <w:szCs w:val="22"/>
        </w:rPr>
        <w:t xml:space="preserve"> </w:t>
      </w:r>
      <w:r w:rsidR="003328D8">
        <w:rPr>
          <w:sz w:val="22"/>
          <w:szCs w:val="22"/>
        </w:rPr>
        <w:t>We believe this can best be achieved by partnering with service providers, local government, and advocacy groups to contact senators and members of Congress and ask them to amend the Transportation, Housing, and Urban Development (THUD) bill to continue funding CoC programs.</w:t>
      </w:r>
      <w:r w:rsidR="006732CB">
        <w:rPr>
          <w:sz w:val="22"/>
          <w:szCs w:val="22"/>
        </w:rPr>
        <w:t xml:space="preserve"> We will also engage the press and </w:t>
      </w:r>
      <w:proofErr w:type="gramStart"/>
      <w:r w:rsidR="006732CB">
        <w:rPr>
          <w:sz w:val="22"/>
          <w:szCs w:val="22"/>
        </w:rPr>
        <w:t>general public</w:t>
      </w:r>
      <w:proofErr w:type="gramEnd"/>
      <w:r w:rsidR="006732CB">
        <w:rPr>
          <w:sz w:val="22"/>
          <w:szCs w:val="22"/>
        </w:rPr>
        <w:t xml:space="preserve"> in advocacy efforts.</w:t>
      </w:r>
    </w:p>
    <w:p w14:paraId="56D55027" w14:textId="77777777" w:rsidR="003328D8" w:rsidRDefault="003328D8" w:rsidP="003328D8">
      <w:pPr>
        <w:rPr>
          <w:b/>
          <w:bCs/>
          <w:sz w:val="22"/>
          <w:szCs w:val="22"/>
        </w:rPr>
      </w:pPr>
      <w:r>
        <w:rPr>
          <w:sz w:val="22"/>
          <w:szCs w:val="22"/>
        </w:rPr>
        <w:t>The National Alliance to End Homelessness recommends this following language:</w:t>
      </w:r>
    </w:p>
    <w:p w14:paraId="5070CAD9" w14:textId="77777777" w:rsidR="003328D8" w:rsidRPr="003D0390" w:rsidRDefault="003328D8" w:rsidP="003328D8">
      <w:pPr>
        <w:rPr>
          <w:sz w:val="22"/>
          <w:szCs w:val="22"/>
        </w:rPr>
      </w:pPr>
      <w:r w:rsidRPr="003D0390">
        <w:rPr>
          <w:b/>
          <w:bCs/>
          <w:sz w:val="22"/>
          <w:szCs w:val="22"/>
        </w:rPr>
        <w:t>Senate: </w:t>
      </w:r>
      <w:r w:rsidRPr="003D0390">
        <w:rPr>
          <w:sz w:val="22"/>
          <w:szCs w:val="22"/>
        </w:rPr>
        <w:t>I urge you to include a provision in an upcoming appropriations bill that directs HUD to renew all existing Continuum of Care grants expiring during calendar year 2026 for one 12-month period. This no-cost provision is consistent with bipartisan Congressional direction and will ensure there are no unnecessary gaps and delays in resources.</w:t>
      </w:r>
    </w:p>
    <w:p w14:paraId="1222C924" w14:textId="77777777" w:rsidR="003328D8" w:rsidRPr="003D0390" w:rsidRDefault="003328D8" w:rsidP="003328D8">
      <w:pPr>
        <w:rPr>
          <w:sz w:val="22"/>
          <w:szCs w:val="22"/>
        </w:rPr>
      </w:pPr>
      <w:r w:rsidRPr="003D0390">
        <w:rPr>
          <w:b/>
          <w:bCs/>
          <w:sz w:val="22"/>
          <w:szCs w:val="22"/>
        </w:rPr>
        <w:t>House: </w:t>
      </w:r>
      <w:r w:rsidRPr="003D0390">
        <w:rPr>
          <w:sz w:val="22"/>
          <w:szCs w:val="22"/>
        </w:rPr>
        <w:t>I urge you to take action to intervene and find a path that will protect CoC Program funding from the inevitable timing delays and abrupt changes that HUD is attempting to make through this NOFO.</w:t>
      </w:r>
    </w:p>
    <w:p w14:paraId="321DFCC6" w14:textId="0FDDBB3C" w:rsidR="00942642" w:rsidRDefault="0079795F" w:rsidP="00790EA4">
      <w:pPr>
        <w:rPr>
          <w:b/>
          <w:bCs/>
          <w:sz w:val="22"/>
          <w:szCs w:val="22"/>
        </w:rPr>
      </w:pPr>
      <w:r>
        <w:rPr>
          <w:b/>
          <w:bCs/>
          <w:sz w:val="22"/>
          <w:szCs w:val="22"/>
        </w:rPr>
        <w:t xml:space="preserve">Contact Milwaukee </w:t>
      </w:r>
      <w:hyperlink r:id="rId8" w:history="1">
        <w:r w:rsidRPr="0079795F">
          <w:rPr>
            <w:rStyle w:val="Hyperlink"/>
            <w:b/>
            <w:bCs/>
            <w:sz w:val="22"/>
            <w:szCs w:val="22"/>
          </w:rPr>
          <w:t>Shelter &amp; Transitional Housing Task Force – Milwaukee</w:t>
        </w:r>
      </w:hyperlink>
      <w:r>
        <w:rPr>
          <w:b/>
          <w:bCs/>
          <w:sz w:val="22"/>
          <w:szCs w:val="22"/>
        </w:rPr>
        <w:t xml:space="preserve"> Co-chairs:</w:t>
      </w:r>
    </w:p>
    <w:p w14:paraId="329B5742" w14:textId="7B7FD3BB" w:rsidR="0079795F" w:rsidRDefault="0079795F" w:rsidP="0079795F">
      <w:pPr>
        <w:contextualSpacing/>
        <w:rPr>
          <w:b/>
          <w:bCs/>
          <w:sz w:val="22"/>
          <w:szCs w:val="22"/>
        </w:rPr>
      </w:pPr>
      <w:r>
        <w:rPr>
          <w:b/>
          <w:bCs/>
          <w:sz w:val="22"/>
          <w:szCs w:val="22"/>
        </w:rPr>
        <w:t xml:space="preserve">Donna Rongholt-Migan, Cathedral Center, </w:t>
      </w:r>
      <w:hyperlink r:id="rId9" w:history="1">
        <w:r w:rsidRPr="007B1404">
          <w:rPr>
            <w:rStyle w:val="Hyperlink"/>
            <w:b/>
            <w:bCs/>
            <w:sz w:val="22"/>
            <w:szCs w:val="22"/>
          </w:rPr>
          <w:t>drongholt@cathedral-center.org</w:t>
        </w:r>
      </w:hyperlink>
    </w:p>
    <w:p w14:paraId="7A5D826B" w14:textId="3961DC0D" w:rsidR="0079795F" w:rsidRDefault="0079795F" w:rsidP="0079795F">
      <w:pPr>
        <w:contextualSpacing/>
        <w:rPr>
          <w:b/>
          <w:bCs/>
          <w:sz w:val="22"/>
          <w:szCs w:val="22"/>
        </w:rPr>
      </w:pPr>
      <w:r>
        <w:rPr>
          <w:b/>
          <w:bCs/>
          <w:sz w:val="22"/>
          <w:szCs w:val="22"/>
        </w:rPr>
        <w:t xml:space="preserve">Kali Daugherty, Walker’s Point Youth and Family Center, </w:t>
      </w:r>
      <w:hyperlink r:id="rId10" w:history="1">
        <w:r w:rsidRPr="007B1404">
          <w:rPr>
            <w:rStyle w:val="Hyperlink"/>
            <w:b/>
            <w:bCs/>
            <w:sz w:val="22"/>
            <w:szCs w:val="22"/>
          </w:rPr>
          <w:t>kali.daugherty@walkerspoint.org</w:t>
        </w:r>
      </w:hyperlink>
    </w:p>
    <w:p w14:paraId="389BE3D5" w14:textId="2AE0F02D" w:rsidR="0079795F" w:rsidRDefault="0079795F" w:rsidP="0079795F">
      <w:pPr>
        <w:contextualSpacing/>
        <w:rPr>
          <w:b/>
          <w:bCs/>
          <w:sz w:val="22"/>
          <w:szCs w:val="22"/>
        </w:rPr>
      </w:pPr>
      <w:r>
        <w:rPr>
          <w:b/>
          <w:bCs/>
          <w:sz w:val="22"/>
          <w:szCs w:val="22"/>
        </w:rPr>
        <w:t xml:space="preserve">Stephen Bauer, Guest House, </w:t>
      </w:r>
      <w:hyperlink r:id="rId11" w:history="1">
        <w:r w:rsidRPr="007B1404">
          <w:rPr>
            <w:rStyle w:val="Hyperlink"/>
            <w:b/>
            <w:bCs/>
            <w:sz w:val="22"/>
            <w:szCs w:val="22"/>
          </w:rPr>
          <w:t>stephenbauer@guesthouseofmilwaukee.org</w:t>
        </w:r>
      </w:hyperlink>
    </w:p>
    <w:p w14:paraId="47A4740B" w14:textId="75C5846A" w:rsidR="0079795F" w:rsidRDefault="0079795F" w:rsidP="0079795F">
      <w:pPr>
        <w:contextualSpacing/>
        <w:rPr>
          <w:b/>
          <w:bCs/>
          <w:sz w:val="22"/>
          <w:szCs w:val="22"/>
        </w:rPr>
      </w:pPr>
      <w:r>
        <w:rPr>
          <w:b/>
          <w:bCs/>
          <w:sz w:val="22"/>
          <w:szCs w:val="22"/>
        </w:rPr>
        <w:t xml:space="preserve">Wendy Weckler, Hope House, </w:t>
      </w:r>
      <w:hyperlink r:id="rId12" w:history="1">
        <w:r w:rsidRPr="007B1404">
          <w:rPr>
            <w:rStyle w:val="Hyperlink"/>
            <w:b/>
            <w:bCs/>
            <w:sz w:val="22"/>
            <w:szCs w:val="22"/>
          </w:rPr>
          <w:t>wendyw@hopehousemke.org</w:t>
        </w:r>
      </w:hyperlink>
    </w:p>
    <w:p w14:paraId="741717E4" w14:textId="77777777" w:rsidR="0079795F" w:rsidRDefault="0079795F" w:rsidP="00790EA4">
      <w:pPr>
        <w:rPr>
          <w:b/>
          <w:bCs/>
          <w:sz w:val="22"/>
          <w:szCs w:val="22"/>
        </w:rPr>
      </w:pPr>
    </w:p>
    <w:p w14:paraId="24EFAE7F" w14:textId="551E0B34" w:rsidR="0079795F" w:rsidRPr="00233BB7" w:rsidRDefault="0079795F" w:rsidP="0079795F">
      <w:pPr>
        <w:jc w:val="center"/>
        <w:rPr>
          <w:b/>
          <w:bCs/>
          <w:sz w:val="22"/>
          <w:szCs w:val="22"/>
        </w:rPr>
      </w:pPr>
      <w:r w:rsidRPr="0079795F">
        <w:rPr>
          <w:b/>
          <w:bCs/>
          <w:noProof/>
          <w:sz w:val="22"/>
          <w:szCs w:val="22"/>
        </w:rPr>
        <w:drawing>
          <wp:inline distT="0" distB="0" distL="0" distR="0" wp14:anchorId="02FDDEB4" wp14:editId="7CA0B842">
            <wp:extent cx="1600200" cy="1600200"/>
            <wp:effectExtent l="0" t="0" r="0" b="0"/>
            <wp:docPr id="582453023" name="Picture 2"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53023" name="Picture 2" descr="A qr code with a white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1600200" cy="1600200"/>
                    </a:xfrm>
                    <a:prstGeom prst="rect">
                      <a:avLst/>
                    </a:prstGeom>
                    <a:noFill/>
                    <a:ln>
                      <a:noFill/>
                    </a:ln>
                  </pic:spPr>
                </pic:pic>
              </a:graphicData>
            </a:graphic>
          </wp:inline>
        </w:drawing>
      </w:r>
    </w:p>
    <w:sectPr w:rsidR="0079795F" w:rsidRPr="00233BB7" w:rsidSect="00365159">
      <w:footerReference w:type="default" r:id="rId1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07A3" w14:textId="77777777" w:rsidR="003166E8" w:rsidRDefault="003166E8" w:rsidP="006732CB">
      <w:pPr>
        <w:spacing w:after="0"/>
      </w:pPr>
      <w:r>
        <w:separator/>
      </w:r>
    </w:p>
  </w:endnote>
  <w:endnote w:type="continuationSeparator" w:id="0">
    <w:p w14:paraId="5781679F" w14:textId="77777777" w:rsidR="003166E8" w:rsidRDefault="003166E8" w:rsidP="00673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385569"/>
      <w:docPartObj>
        <w:docPartGallery w:val="Page Numbers (Bottom of Page)"/>
        <w:docPartUnique/>
      </w:docPartObj>
    </w:sdtPr>
    <w:sdtEndPr>
      <w:rPr>
        <w:noProof/>
      </w:rPr>
    </w:sdtEndPr>
    <w:sdtContent>
      <w:p w14:paraId="7DF6FB23" w14:textId="6243E4D3" w:rsidR="006732CB" w:rsidRDefault="006732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197ED" w14:textId="77777777" w:rsidR="006732CB" w:rsidRDefault="0067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CB9F" w14:textId="77777777" w:rsidR="003166E8" w:rsidRDefault="003166E8" w:rsidP="006732CB">
      <w:pPr>
        <w:spacing w:after="0"/>
      </w:pPr>
      <w:r>
        <w:separator/>
      </w:r>
    </w:p>
  </w:footnote>
  <w:footnote w:type="continuationSeparator" w:id="0">
    <w:p w14:paraId="08274AF3" w14:textId="77777777" w:rsidR="003166E8" w:rsidRDefault="003166E8" w:rsidP="006732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78A"/>
    <w:multiLevelType w:val="multilevel"/>
    <w:tmpl w:val="21A2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60FC9"/>
    <w:multiLevelType w:val="multilevel"/>
    <w:tmpl w:val="72BA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F1098"/>
    <w:multiLevelType w:val="hybridMultilevel"/>
    <w:tmpl w:val="775C6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1264BAF"/>
    <w:multiLevelType w:val="multilevel"/>
    <w:tmpl w:val="8D3CA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C6355"/>
    <w:multiLevelType w:val="hybridMultilevel"/>
    <w:tmpl w:val="D49E6F42"/>
    <w:lvl w:ilvl="0" w:tplc="7D6C000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B1EFC"/>
    <w:multiLevelType w:val="multilevel"/>
    <w:tmpl w:val="C99C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C3EDD"/>
    <w:multiLevelType w:val="multilevel"/>
    <w:tmpl w:val="21A2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C42FBE"/>
    <w:multiLevelType w:val="hybridMultilevel"/>
    <w:tmpl w:val="51A6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461880">
    <w:abstractNumId w:val="5"/>
  </w:num>
  <w:num w:numId="2" w16cid:durableId="2126381761">
    <w:abstractNumId w:val="0"/>
  </w:num>
  <w:num w:numId="3" w16cid:durableId="755979325">
    <w:abstractNumId w:val="7"/>
  </w:num>
  <w:num w:numId="4" w16cid:durableId="1992756947">
    <w:abstractNumId w:val="6"/>
  </w:num>
  <w:num w:numId="5" w16cid:durableId="519585233">
    <w:abstractNumId w:val="4"/>
  </w:num>
  <w:num w:numId="6" w16cid:durableId="1691568462">
    <w:abstractNumId w:val="3"/>
  </w:num>
  <w:num w:numId="7" w16cid:durableId="1869559625">
    <w:abstractNumId w:val="2"/>
  </w:num>
  <w:num w:numId="8" w16cid:durableId="7569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45"/>
    <w:rsid w:val="000C5C8A"/>
    <w:rsid w:val="000D7FF8"/>
    <w:rsid w:val="000F00E0"/>
    <w:rsid w:val="0016792A"/>
    <w:rsid w:val="00176661"/>
    <w:rsid w:val="001A466E"/>
    <w:rsid w:val="001D1B10"/>
    <w:rsid w:val="0020121F"/>
    <w:rsid w:val="00233BB7"/>
    <w:rsid w:val="00266C47"/>
    <w:rsid w:val="00296D2E"/>
    <w:rsid w:val="002D551C"/>
    <w:rsid w:val="002F07C1"/>
    <w:rsid w:val="002F4F76"/>
    <w:rsid w:val="003166E8"/>
    <w:rsid w:val="003328D8"/>
    <w:rsid w:val="00365159"/>
    <w:rsid w:val="003C4B3C"/>
    <w:rsid w:val="003F7F68"/>
    <w:rsid w:val="00430209"/>
    <w:rsid w:val="00492C45"/>
    <w:rsid w:val="00495789"/>
    <w:rsid w:val="004F6E1F"/>
    <w:rsid w:val="00501E4D"/>
    <w:rsid w:val="0054457A"/>
    <w:rsid w:val="005F261D"/>
    <w:rsid w:val="00610F8F"/>
    <w:rsid w:val="00651FB4"/>
    <w:rsid w:val="006716FC"/>
    <w:rsid w:val="006732CB"/>
    <w:rsid w:val="006F7186"/>
    <w:rsid w:val="0076387C"/>
    <w:rsid w:val="007836A5"/>
    <w:rsid w:val="00790EA4"/>
    <w:rsid w:val="00797245"/>
    <w:rsid w:val="0079795F"/>
    <w:rsid w:val="007C6A48"/>
    <w:rsid w:val="007D1D7E"/>
    <w:rsid w:val="00836227"/>
    <w:rsid w:val="0085587A"/>
    <w:rsid w:val="008668B4"/>
    <w:rsid w:val="008769CC"/>
    <w:rsid w:val="009141D6"/>
    <w:rsid w:val="00942642"/>
    <w:rsid w:val="00946428"/>
    <w:rsid w:val="00973520"/>
    <w:rsid w:val="009A743B"/>
    <w:rsid w:val="00AD207C"/>
    <w:rsid w:val="00B16FD6"/>
    <w:rsid w:val="00B460F1"/>
    <w:rsid w:val="00B52F19"/>
    <w:rsid w:val="00B8150D"/>
    <w:rsid w:val="00BB7B8B"/>
    <w:rsid w:val="00C664BA"/>
    <w:rsid w:val="00CA14D6"/>
    <w:rsid w:val="00CE65EB"/>
    <w:rsid w:val="00D3343D"/>
    <w:rsid w:val="00D64698"/>
    <w:rsid w:val="00D84899"/>
    <w:rsid w:val="00E01BE2"/>
    <w:rsid w:val="00E41C32"/>
    <w:rsid w:val="00EB1651"/>
    <w:rsid w:val="00EB3808"/>
    <w:rsid w:val="00F54390"/>
    <w:rsid w:val="00F73785"/>
    <w:rsid w:val="00F95EF3"/>
    <w:rsid w:val="00FE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A0F09"/>
  <w15:chartTrackingRefBased/>
  <w15:docId w15:val="{11480134-A78D-47F5-A7CE-1C95627C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C45"/>
    <w:rPr>
      <w:rFonts w:eastAsiaTheme="majorEastAsia" w:cstheme="majorBidi"/>
      <w:color w:val="272727" w:themeColor="text1" w:themeTint="D8"/>
    </w:rPr>
  </w:style>
  <w:style w:type="paragraph" w:styleId="Title">
    <w:name w:val="Title"/>
    <w:basedOn w:val="Normal"/>
    <w:next w:val="Normal"/>
    <w:link w:val="TitleChar"/>
    <w:uiPriority w:val="10"/>
    <w:qFormat/>
    <w:rsid w:val="00492C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C45"/>
    <w:pPr>
      <w:spacing w:before="160"/>
      <w:jc w:val="center"/>
    </w:pPr>
    <w:rPr>
      <w:i/>
      <w:iCs/>
      <w:color w:val="404040" w:themeColor="text1" w:themeTint="BF"/>
    </w:rPr>
  </w:style>
  <w:style w:type="character" w:customStyle="1" w:styleId="QuoteChar">
    <w:name w:val="Quote Char"/>
    <w:basedOn w:val="DefaultParagraphFont"/>
    <w:link w:val="Quote"/>
    <w:uiPriority w:val="29"/>
    <w:rsid w:val="00492C45"/>
    <w:rPr>
      <w:i/>
      <w:iCs/>
      <w:color w:val="404040" w:themeColor="text1" w:themeTint="BF"/>
    </w:rPr>
  </w:style>
  <w:style w:type="paragraph" w:styleId="ListParagraph">
    <w:name w:val="List Paragraph"/>
    <w:basedOn w:val="Normal"/>
    <w:uiPriority w:val="34"/>
    <w:qFormat/>
    <w:rsid w:val="00492C45"/>
    <w:pPr>
      <w:ind w:left="720"/>
      <w:contextualSpacing/>
    </w:pPr>
  </w:style>
  <w:style w:type="character" w:styleId="IntenseEmphasis">
    <w:name w:val="Intense Emphasis"/>
    <w:basedOn w:val="DefaultParagraphFont"/>
    <w:uiPriority w:val="21"/>
    <w:qFormat/>
    <w:rsid w:val="00492C45"/>
    <w:rPr>
      <w:i/>
      <w:iCs/>
      <w:color w:val="0F4761" w:themeColor="accent1" w:themeShade="BF"/>
    </w:rPr>
  </w:style>
  <w:style w:type="paragraph" w:styleId="IntenseQuote">
    <w:name w:val="Intense Quote"/>
    <w:basedOn w:val="Normal"/>
    <w:next w:val="Normal"/>
    <w:link w:val="IntenseQuoteChar"/>
    <w:uiPriority w:val="30"/>
    <w:qFormat/>
    <w:rsid w:val="00492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C45"/>
    <w:rPr>
      <w:i/>
      <w:iCs/>
      <w:color w:val="0F4761" w:themeColor="accent1" w:themeShade="BF"/>
    </w:rPr>
  </w:style>
  <w:style w:type="character" w:styleId="IntenseReference">
    <w:name w:val="Intense Reference"/>
    <w:basedOn w:val="DefaultParagraphFont"/>
    <w:uiPriority w:val="32"/>
    <w:qFormat/>
    <w:rsid w:val="00492C45"/>
    <w:rPr>
      <w:b/>
      <w:bCs/>
      <w:smallCaps/>
      <w:color w:val="0F4761" w:themeColor="accent1" w:themeShade="BF"/>
      <w:spacing w:val="5"/>
    </w:rPr>
  </w:style>
  <w:style w:type="paragraph" w:styleId="Header">
    <w:name w:val="header"/>
    <w:basedOn w:val="Normal"/>
    <w:link w:val="HeaderChar"/>
    <w:uiPriority w:val="99"/>
    <w:unhideWhenUsed/>
    <w:rsid w:val="006732CB"/>
    <w:pPr>
      <w:tabs>
        <w:tab w:val="center" w:pos="4680"/>
        <w:tab w:val="right" w:pos="9360"/>
      </w:tabs>
      <w:spacing w:after="0"/>
    </w:pPr>
  </w:style>
  <w:style w:type="character" w:customStyle="1" w:styleId="HeaderChar">
    <w:name w:val="Header Char"/>
    <w:basedOn w:val="DefaultParagraphFont"/>
    <w:link w:val="Header"/>
    <w:uiPriority w:val="99"/>
    <w:rsid w:val="006732CB"/>
  </w:style>
  <w:style w:type="paragraph" w:styleId="Footer">
    <w:name w:val="footer"/>
    <w:basedOn w:val="Normal"/>
    <w:link w:val="FooterChar"/>
    <w:uiPriority w:val="99"/>
    <w:unhideWhenUsed/>
    <w:rsid w:val="006732CB"/>
    <w:pPr>
      <w:tabs>
        <w:tab w:val="center" w:pos="4680"/>
        <w:tab w:val="right" w:pos="9360"/>
      </w:tabs>
      <w:spacing w:after="0"/>
    </w:pPr>
  </w:style>
  <w:style w:type="character" w:customStyle="1" w:styleId="FooterChar">
    <w:name w:val="Footer Char"/>
    <w:basedOn w:val="DefaultParagraphFont"/>
    <w:link w:val="Footer"/>
    <w:uiPriority w:val="99"/>
    <w:rsid w:val="006732CB"/>
  </w:style>
  <w:style w:type="character" w:styleId="Hyperlink">
    <w:name w:val="Hyperlink"/>
    <w:basedOn w:val="DefaultParagraphFont"/>
    <w:uiPriority w:val="99"/>
    <w:unhideWhenUsed/>
    <w:rsid w:val="0079795F"/>
    <w:rPr>
      <w:color w:val="467886" w:themeColor="hyperlink"/>
      <w:u w:val="single"/>
    </w:rPr>
  </w:style>
  <w:style w:type="character" w:styleId="UnresolvedMention">
    <w:name w:val="Unresolved Mention"/>
    <w:basedOn w:val="DefaultParagraphFont"/>
    <w:uiPriority w:val="99"/>
    <w:semiHidden/>
    <w:unhideWhenUsed/>
    <w:rsid w:val="00797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ltermke.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wendyw@hopehousemk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bauer@guesthouseofmilwauke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li.daugherty@walkerspoint.org" TargetMode="External"/><Relationship Id="rId4" Type="http://schemas.openxmlformats.org/officeDocument/2006/relationships/webSettings" Target="webSettings.xml"/><Relationship Id="rId9" Type="http://schemas.openxmlformats.org/officeDocument/2006/relationships/hyperlink" Target="mailto:drongholt@cathedral-cente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1403</Words>
  <Characters>8390</Characters>
  <Application>Microsoft Office Word</Application>
  <DocSecurity>0</DocSecurity>
  <Lines>131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von Helms</dc:creator>
  <cp:keywords/>
  <dc:description/>
  <cp:lastModifiedBy>Jenny von Helms</cp:lastModifiedBy>
  <cp:revision>2</cp:revision>
  <cp:lastPrinted>2025-11-19T17:10:00Z</cp:lastPrinted>
  <dcterms:created xsi:type="dcterms:W3CDTF">2025-11-21T22:50:00Z</dcterms:created>
  <dcterms:modified xsi:type="dcterms:W3CDTF">2025-11-21T22:50:00Z</dcterms:modified>
</cp:coreProperties>
</file>